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79" w:rsidRPr="00763F00" w:rsidRDefault="004C3379" w:rsidP="00004FE6">
      <w:pPr>
        <w:pStyle w:val="a3"/>
        <w:tabs>
          <w:tab w:val="left" w:pos="2907"/>
        </w:tabs>
        <w:snapToGrid w:val="0"/>
        <w:spacing w:line="500" w:lineRule="exact"/>
        <w:ind w:rightChars="-109" w:right="-262"/>
        <w:jc w:val="center"/>
        <w:rPr>
          <w:rFonts w:ascii="Times New Roman" w:eastAsia="標楷體" w:hAnsi="Times New Roman"/>
          <w:bCs/>
          <w:spacing w:val="30"/>
          <w:sz w:val="28"/>
          <w:szCs w:val="28"/>
        </w:rPr>
      </w:pPr>
      <w:bookmarkStart w:id="0" w:name="_GoBack"/>
      <w:bookmarkEnd w:id="0"/>
      <w:r w:rsidRPr="00763F00">
        <w:rPr>
          <w:rFonts w:ascii="Times New Roman" w:eastAsia="標楷體" w:hAnsi="Times New Roman"/>
          <w:b/>
          <w:sz w:val="28"/>
          <w:szCs w:val="28"/>
        </w:rPr>
        <w:t>Guidelines Governing Money Laundering and Terrorist Financing Risks Assessment and Relevant Prevention Program Development by the Insurance Sector</w:t>
      </w:r>
    </w:p>
    <w:p w:rsidR="004C3379" w:rsidRPr="00763F00" w:rsidRDefault="004C3379" w:rsidP="00004FE6">
      <w:pPr>
        <w:pStyle w:val="a3"/>
        <w:tabs>
          <w:tab w:val="left" w:pos="2907"/>
        </w:tabs>
        <w:snapToGrid w:val="0"/>
        <w:spacing w:line="500" w:lineRule="exact"/>
        <w:ind w:rightChars="-109" w:right="-262"/>
        <w:rPr>
          <w:rFonts w:ascii="Times New Roman" w:eastAsia="標楷體" w:hAnsi="Times New Roman"/>
          <w:bCs/>
          <w:spacing w:val="30"/>
          <w:sz w:val="28"/>
          <w:szCs w:val="28"/>
        </w:rPr>
      </w:pPr>
    </w:p>
    <w:p w:rsidR="004C3379" w:rsidRPr="00763F00" w:rsidRDefault="004C3379" w:rsidP="00004FE6">
      <w:pPr>
        <w:pStyle w:val="a3"/>
        <w:numPr>
          <w:ilvl w:val="0"/>
          <w:numId w:val="2"/>
        </w:numPr>
        <w:tabs>
          <w:tab w:val="left" w:pos="2907"/>
        </w:tabs>
        <w:snapToGrid w:val="0"/>
        <w:spacing w:line="500" w:lineRule="exact"/>
        <w:ind w:rightChars="-109" w:right="-262"/>
        <w:jc w:val="both"/>
        <w:rPr>
          <w:rFonts w:ascii="Times New Roman" w:eastAsia="標楷體" w:hAnsi="Times New Roman"/>
          <w:bCs/>
          <w:spacing w:val="30"/>
          <w:sz w:val="28"/>
          <w:szCs w:val="28"/>
        </w:rPr>
      </w:pPr>
      <w:r w:rsidRPr="00763F00">
        <w:rPr>
          <w:rFonts w:ascii="Times New Roman" w:eastAsia="標楷體" w:hAnsi="Times New Roman"/>
        </w:rPr>
        <w:t>The Guidelines are formulated in accordance with “Directions Governing Anti-Money Laundering and Countering Terrorism Financing of Insurance Sector” for the purpose of anti-money laundering and combating the financing of terrorism (hereinafter referred to as the anti-money laundering and combating the financing of terrorism). The content covers aspects such as how the insurers in our countries recognize and assess risks of money laundering and financing of terrorist in businesses, and development of related policy, procedures and control on anti-money laundering and combating the financing of terrorism, etc. as the basis for implementation.</w:t>
      </w:r>
    </w:p>
    <w:p w:rsidR="004C3379" w:rsidRPr="00763F00" w:rsidRDefault="004C3379" w:rsidP="00004FE6">
      <w:pPr>
        <w:pStyle w:val="a3"/>
        <w:numPr>
          <w:ilvl w:val="0"/>
          <w:numId w:val="2"/>
        </w:numPr>
        <w:tabs>
          <w:tab w:val="left" w:pos="2907"/>
        </w:tabs>
        <w:snapToGrid w:val="0"/>
        <w:spacing w:line="500" w:lineRule="exact"/>
        <w:ind w:rightChars="-109" w:right="-262"/>
        <w:jc w:val="both"/>
        <w:rPr>
          <w:rFonts w:ascii="Times New Roman" w:eastAsia="標楷體" w:hAnsi="Times New Roman"/>
        </w:rPr>
      </w:pPr>
      <w:r w:rsidRPr="00763F00">
        <w:rPr>
          <w:rFonts w:ascii="Times New Roman" w:eastAsia="標楷體" w:hAnsi="Times New Roman"/>
        </w:rPr>
        <w:t>The risk control mechanism or the internal control system of an insurer should include identification, evaluation, management carried out for risks of money laundering and financing of terrorism, relevant policies and procedures setup, and programs set up in accordance with the results of risk assessments to prevent money laundering and combat the financing of terrorism and routine review shall be conducted.</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A risk-based approach is designed to help the development of prevention and reduction measures corresponding to money laundering and financing of terrorism in order for the insurer to determine its allocation of resources for anti-money laundering and combating the financing of terrorism, establish its internal control system, and formulate and implement policies, procedures and control measures which should be taken for programs to prevent money laundering and combat the financing of terrorism.</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 xml:space="preserve">The insurer should consider business, products, policyholder’s characteristics and etc.,, undergo adequate measures and set up periodical and overall assessment for risks of money laundering and financing of terrorism, so as to effectively realize the  full-scale risks in time. The insurer shall take above differences in business, products and policyholder characteristics when </w:t>
      </w:r>
      <w:r w:rsidRPr="00763F00">
        <w:rPr>
          <w:rFonts w:ascii="Times New Roman" w:eastAsia="標楷體" w:hAnsi="Times New Roman"/>
        </w:rPr>
        <w:lastRenderedPageBreak/>
        <w:t>assessing and reducing its risk exposures against money-laundering and financing of terrorism.</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Each description or appendix of examples stated in the Guidelines is not mandatory. The risk assessment mechanism of an insurer should be in proportion to the nature and scale of its business, products and policyholder characteristics. The insurer should allocate adequate resources according to the results of risk assessment, and to undergo effective combating measures to prevent or decrease risks.</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Times New Roman"/>
        </w:rPr>
      </w:pPr>
      <w:r w:rsidRPr="00763F00">
        <w:rPr>
          <w:rFonts w:ascii="Times New Roman" w:eastAsia="標楷體" w:hAnsi="Times New Roman"/>
        </w:rPr>
        <w:t>The</w:t>
      </w:r>
      <w:r w:rsidRPr="00763F00">
        <w:rPr>
          <w:rFonts w:ascii="Times New Roman" w:eastAsia="標楷體" w:hAnsi="標楷體"/>
        </w:rPr>
        <w:t xml:space="preserve"> </w:t>
      </w:r>
      <w:r w:rsidRPr="00763F00">
        <w:rPr>
          <w:rFonts w:ascii="Times New Roman" w:eastAsia="標楷體" w:hAnsi="Times New Roman"/>
        </w:rPr>
        <w:t>insurer</w:t>
      </w:r>
      <w:r w:rsidRPr="00763F00">
        <w:rPr>
          <w:rFonts w:ascii="Times New Roman" w:eastAsia="標楷體" w:hAnsi="標楷體"/>
        </w:rPr>
        <w:t xml:space="preserve"> shall conduct a</w:t>
      </w:r>
      <w:r w:rsidRPr="00763F00">
        <w:rPr>
          <w:rFonts w:ascii="Times New Roman" w:eastAsia="標楷體" w:hAnsi="Times New Roman"/>
        </w:rPr>
        <w:t>ppropriate measures to identify and evaluate its risks of money laundering and financing of terrorism, and formulate specific risk assessment projects based on the risk identified to further control, reduce or prevent the risk.</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Specific risk assessment projects should at least include three indicators, that is, geography, policyholder and product, and a further analysis for each risk project should be conducted to formulate the details of risk factors.</w:t>
      </w:r>
    </w:p>
    <w:p w:rsidR="004C3379" w:rsidRPr="00763F00" w:rsidRDefault="004C3379" w:rsidP="007160E6">
      <w:pPr>
        <w:pStyle w:val="a3"/>
        <w:numPr>
          <w:ilvl w:val="2"/>
          <w:numId w:val="2"/>
        </w:numPr>
        <w:tabs>
          <w:tab w:val="clear" w:pos="1320"/>
          <w:tab w:val="num" w:pos="840"/>
        </w:tabs>
        <w:snapToGrid w:val="0"/>
        <w:spacing w:line="360" w:lineRule="exact"/>
        <w:ind w:hanging="840"/>
        <w:jc w:val="both"/>
        <w:rPr>
          <w:rFonts w:ascii="Times New Roman" w:eastAsia="標楷體" w:hAnsi="Times New Roman"/>
        </w:rPr>
      </w:pPr>
      <w:r w:rsidRPr="00763F00">
        <w:rPr>
          <w:rFonts w:ascii="Times New Roman" w:eastAsia="標楷體" w:hAnsi="Times New Roman"/>
        </w:rPr>
        <w:t>Geographical risk:</w:t>
      </w:r>
    </w:p>
    <w:p w:rsidR="004C3379" w:rsidRPr="00763F00" w:rsidRDefault="004C3379" w:rsidP="007160E6">
      <w:pPr>
        <w:pStyle w:val="a3"/>
        <w:numPr>
          <w:ilvl w:val="0"/>
          <w:numId w:val="3"/>
        </w:numPr>
        <w:tabs>
          <w:tab w:val="clear" w:pos="960"/>
          <w:tab w:val="num" w:pos="1200"/>
          <w:tab w:val="left" w:pos="1320"/>
        </w:tabs>
        <w:snapToGrid w:val="0"/>
        <w:spacing w:line="360" w:lineRule="exact"/>
        <w:ind w:left="1200" w:hanging="360"/>
        <w:jc w:val="both"/>
        <w:rPr>
          <w:rFonts w:ascii="Times New Roman" w:eastAsia="標楷體" w:hAnsi="Times New Roman"/>
        </w:rPr>
      </w:pPr>
      <w:r w:rsidRPr="00763F00">
        <w:rPr>
          <w:rFonts w:ascii="Times New Roman" w:eastAsia="標楷體" w:hAnsi="Times New Roman"/>
        </w:rPr>
        <w:t>The insurer should identify regions with higher risk of money laundering and financing of terrorism.</w:t>
      </w:r>
    </w:p>
    <w:p w:rsidR="004C3379" w:rsidRPr="00763F00" w:rsidRDefault="004C3379" w:rsidP="007160E6">
      <w:pPr>
        <w:pStyle w:val="a3"/>
        <w:numPr>
          <w:ilvl w:val="0"/>
          <w:numId w:val="3"/>
        </w:numPr>
        <w:tabs>
          <w:tab w:val="clear" w:pos="960"/>
          <w:tab w:val="num" w:pos="1200"/>
          <w:tab w:val="left" w:pos="1320"/>
        </w:tabs>
        <w:snapToGrid w:val="0"/>
        <w:spacing w:line="360" w:lineRule="exact"/>
        <w:ind w:left="1200" w:hanging="360"/>
        <w:jc w:val="both"/>
        <w:rPr>
          <w:rFonts w:ascii="Times New Roman" w:eastAsia="標楷體" w:hAnsi="Times New Roman"/>
        </w:rPr>
      </w:pPr>
      <w:r w:rsidRPr="00763F00">
        <w:rPr>
          <w:rFonts w:ascii="Times New Roman" w:eastAsia="標楷體" w:hAnsi="Times New Roman"/>
        </w:rPr>
        <w:t>When formulating a list of regions with higher risks of money laundering and financing of terrorism, the insurer may select applicable references based on practical experience of its respective branch or referred to the appendix in consideration of individual needs.</w:t>
      </w:r>
    </w:p>
    <w:p w:rsidR="004C3379" w:rsidRPr="00763F00" w:rsidRDefault="004C3379" w:rsidP="007160E6">
      <w:pPr>
        <w:pStyle w:val="a3"/>
        <w:numPr>
          <w:ilvl w:val="2"/>
          <w:numId w:val="2"/>
        </w:numPr>
        <w:tabs>
          <w:tab w:val="clear" w:pos="1320"/>
          <w:tab w:val="num" w:pos="840"/>
        </w:tabs>
        <w:snapToGrid w:val="0"/>
        <w:spacing w:line="360" w:lineRule="exact"/>
        <w:ind w:hanging="840"/>
        <w:jc w:val="both"/>
        <w:rPr>
          <w:rFonts w:ascii="Times New Roman" w:eastAsia="標楷體" w:hAnsi="Times New Roman"/>
        </w:rPr>
      </w:pPr>
      <w:r w:rsidRPr="00763F00">
        <w:rPr>
          <w:rFonts w:ascii="Times New Roman" w:eastAsia="標楷體" w:hAnsi="Times New Roman"/>
        </w:rPr>
        <w:t>Policyholder risk:</w:t>
      </w:r>
    </w:p>
    <w:p w:rsidR="004C3379" w:rsidRPr="00763F00" w:rsidRDefault="004C3379" w:rsidP="007160E6">
      <w:pPr>
        <w:pStyle w:val="a3"/>
        <w:numPr>
          <w:ilvl w:val="0"/>
          <w:numId w:val="4"/>
        </w:numPr>
        <w:tabs>
          <w:tab w:val="clear" w:pos="960"/>
          <w:tab w:val="num" w:pos="1200"/>
          <w:tab w:val="left" w:pos="1320"/>
        </w:tabs>
        <w:snapToGrid w:val="0"/>
        <w:spacing w:line="360" w:lineRule="exact"/>
        <w:ind w:left="1200" w:hanging="360"/>
        <w:jc w:val="both"/>
        <w:rPr>
          <w:rFonts w:ascii="Times New Roman" w:eastAsia="標楷體" w:hAnsi="Times New Roman"/>
        </w:rPr>
      </w:pPr>
      <w:r w:rsidRPr="00763F00">
        <w:rPr>
          <w:rFonts w:ascii="Times New Roman" w:eastAsia="標楷體" w:hAnsi="Times New Roman"/>
        </w:rPr>
        <w:t>The insurer shall take comprehensive consideration of an individual policyholder’s background, occupation and characteristics of socio-economic activities, region, organizational pattern and structure of a non-natural person policyholder in order to identify risks of money laundering and financing of terrorism from the policyholder.</w:t>
      </w:r>
    </w:p>
    <w:p w:rsidR="004C3379" w:rsidRPr="00763F00" w:rsidRDefault="004C3379" w:rsidP="007160E6">
      <w:pPr>
        <w:pStyle w:val="a3"/>
        <w:numPr>
          <w:ilvl w:val="0"/>
          <w:numId w:val="4"/>
        </w:numPr>
        <w:tabs>
          <w:tab w:val="clear" w:pos="960"/>
          <w:tab w:val="num" w:pos="1200"/>
          <w:tab w:val="left" w:pos="1320"/>
        </w:tabs>
        <w:snapToGrid w:val="0"/>
        <w:spacing w:line="360" w:lineRule="exact"/>
        <w:ind w:left="1200" w:hanging="360"/>
        <w:jc w:val="both"/>
        <w:rPr>
          <w:rFonts w:ascii="Times New Roman" w:eastAsia="標楷體" w:hAnsi="Times New Roman"/>
        </w:rPr>
      </w:pPr>
      <w:r w:rsidRPr="00763F00">
        <w:rPr>
          <w:rFonts w:ascii="Times New Roman" w:eastAsia="標楷體" w:hAnsi="Times New Roman"/>
        </w:rPr>
        <w:t>When identifying the risk of an individual policyholder and determining her/his risk rating, the insurer may take the following risk factors as the Basis of Assessment:</w:t>
      </w:r>
    </w:p>
    <w:p w:rsidR="004C3379" w:rsidRPr="00763F00" w:rsidRDefault="004C3379" w:rsidP="00004FE6">
      <w:pPr>
        <w:pStyle w:val="a3"/>
        <w:numPr>
          <w:ilvl w:val="1"/>
          <w:numId w:val="4"/>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 xml:space="preserve">Geographical risk of the policyholder: The insurer should realize the policyholder’s nationality, </w:t>
      </w:r>
      <w:r w:rsidRPr="00763F00">
        <w:rPr>
          <w:rFonts w:ascii="Times New Roman" w:eastAsia="標楷體" w:hAnsi="標楷體"/>
        </w:rPr>
        <w:t>place of registration or place of business, the geographical relationship between the policyholder and the insurer,  or the area which the transaction involving to comprehensively assess the policyholder</w:t>
      </w:r>
      <w:r w:rsidRPr="00763F00">
        <w:rPr>
          <w:rFonts w:ascii="Times New Roman" w:eastAsia="標楷體" w:hAnsi="標楷體"/>
        </w:rPr>
        <w:t>’</w:t>
      </w:r>
      <w:r w:rsidRPr="00763F00">
        <w:rPr>
          <w:rFonts w:ascii="Times New Roman" w:eastAsia="標楷體" w:hAnsi="標楷體"/>
        </w:rPr>
        <w:t xml:space="preserve">s risk. </w:t>
      </w:r>
    </w:p>
    <w:p w:rsidR="004C3379" w:rsidRPr="00763F00" w:rsidRDefault="004C3379" w:rsidP="00004FE6">
      <w:pPr>
        <w:pStyle w:val="a3"/>
        <w:numPr>
          <w:ilvl w:val="1"/>
          <w:numId w:val="4"/>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 xml:space="preserve">Money laundering risk of the policyholder’s occupation and industry: Determine the risk rating of the policyholder’s occupation and industry based on money laundering risk of occupations and industries defined by the insurer. High-risk industries such as </w:t>
      </w:r>
      <w:r w:rsidRPr="00763F00">
        <w:rPr>
          <w:rFonts w:ascii="Times New Roman" w:eastAsia="標楷體" w:hAnsi="Times New Roman"/>
        </w:rPr>
        <w:lastRenderedPageBreak/>
        <w:t>businesses engaged in intensive cash transactions, or firms or trusts easily applied to hold individual assets.</w:t>
      </w:r>
    </w:p>
    <w:p w:rsidR="004C3379" w:rsidRPr="00763F00" w:rsidRDefault="004C3379" w:rsidP="00004FE6">
      <w:pPr>
        <w:pStyle w:val="a3"/>
        <w:numPr>
          <w:ilvl w:val="1"/>
          <w:numId w:val="4"/>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The channel where the policyholder built business relationships.</w:t>
      </w:r>
    </w:p>
    <w:p w:rsidR="004C3379" w:rsidRPr="00763F00" w:rsidRDefault="004C3379" w:rsidP="00004FE6">
      <w:pPr>
        <w:pStyle w:val="a3"/>
        <w:numPr>
          <w:ilvl w:val="1"/>
          <w:numId w:val="4"/>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The amount in which the policyholder   built business relationships.</w:t>
      </w:r>
    </w:p>
    <w:p w:rsidR="004C3379" w:rsidRPr="00763F00" w:rsidRDefault="004C3379" w:rsidP="007160E6">
      <w:pPr>
        <w:pStyle w:val="a3"/>
        <w:numPr>
          <w:ilvl w:val="2"/>
          <w:numId w:val="2"/>
        </w:numPr>
        <w:tabs>
          <w:tab w:val="clear" w:pos="1320"/>
          <w:tab w:val="num" w:pos="840"/>
        </w:tabs>
        <w:snapToGrid w:val="0"/>
        <w:spacing w:line="360" w:lineRule="exact"/>
        <w:ind w:hanging="840"/>
        <w:jc w:val="both"/>
        <w:rPr>
          <w:rFonts w:ascii="Times New Roman" w:eastAsia="標楷體" w:hAnsi="標楷體"/>
        </w:rPr>
      </w:pPr>
      <w:r w:rsidRPr="00763F00">
        <w:rPr>
          <w:rFonts w:ascii="Times New Roman" w:eastAsia="標楷體" w:hAnsi="Times New Roman"/>
        </w:rPr>
        <w:t>Product</w:t>
      </w:r>
      <w:r w:rsidRPr="00763F00">
        <w:rPr>
          <w:rFonts w:ascii="Times New Roman" w:eastAsia="標楷體" w:hAnsi="標楷體"/>
        </w:rPr>
        <w:t xml:space="preserve"> risk:</w:t>
      </w:r>
    </w:p>
    <w:p w:rsidR="004C3379" w:rsidRPr="00763F00" w:rsidRDefault="004C3379" w:rsidP="007160E6">
      <w:pPr>
        <w:pStyle w:val="a3"/>
        <w:numPr>
          <w:ilvl w:val="0"/>
          <w:numId w:val="5"/>
        </w:numPr>
        <w:tabs>
          <w:tab w:val="clear" w:pos="960"/>
          <w:tab w:val="left" w:pos="1080"/>
        </w:tabs>
        <w:snapToGrid w:val="0"/>
        <w:spacing w:line="360" w:lineRule="exact"/>
        <w:ind w:left="1080" w:hanging="240"/>
        <w:jc w:val="both"/>
        <w:rPr>
          <w:rFonts w:ascii="Times New Roman" w:eastAsia="標楷體" w:hAnsi="Times New Roman"/>
        </w:rPr>
      </w:pPr>
      <w:r w:rsidRPr="00763F00">
        <w:rPr>
          <w:rFonts w:ascii="Times New Roman" w:eastAsia="標楷體" w:hAnsi="標楷體"/>
        </w:rPr>
        <w:t>The insu</w:t>
      </w:r>
      <w:r w:rsidRPr="00763F00">
        <w:rPr>
          <w:rFonts w:ascii="Times New Roman" w:eastAsia="標楷體" w:hAnsi="Times New Roman"/>
        </w:rPr>
        <w:t>rer shall identify specific product or money-relating service which may bring higher risks of money laundering and financing of terrorism based on the nature of an individual product or service.</w:t>
      </w:r>
    </w:p>
    <w:p w:rsidR="004C3379" w:rsidRPr="00763F00" w:rsidRDefault="004C3379" w:rsidP="007160E6">
      <w:pPr>
        <w:pStyle w:val="a3"/>
        <w:numPr>
          <w:ilvl w:val="0"/>
          <w:numId w:val="5"/>
        </w:numPr>
        <w:tabs>
          <w:tab w:val="clear" w:pos="960"/>
          <w:tab w:val="left" w:pos="1080"/>
        </w:tabs>
        <w:snapToGrid w:val="0"/>
        <w:spacing w:line="360" w:lineRule="exact"/>
        <w:ind w:left="1080" w:hanging="240"/>
        <w:jc w:val="both"/>
        <w:rPr>
          <w:rFonts w:ascii="Times New Roman" w:eastAsia="標楷體" w:hAnsi="標楷體"/>
        </w:rPr>
      </w:pPr>
      <w:r w:rsidRPr="00763F00">
        <w:rPr>
          <w:rFonts w:ascii="Times New Roman" w:eastAsia="標楷體" w:hAnsi="Times New Roman"/>
        </w:rPr>
        <w:t>The i</w:t>
      </w:r>
      <w:r w:rsidRPr="00763F00">
        <w:rPr>
          <w:rFonts w:ascii="Times New Roman" w:eastAsia="標楷體" w:hAnsi="標楷體"/>
        </w:rPr>
        <w:t>nsurer shall, before a new product or money-relating service entering the market, conduct a comprehensive risk assessment of money laundering, and establish appropriate risk management measures based on principles of risk control.</w:t>
      </w:r>
    </w:p>
    <w:p w:rsidR="004C3379" w:rsidRPr="00763F00" w:rsidRDefault="004C3379" w:rsidP="007160E6">
      <w:pPr>
        <w:pStyle w:val="a3"/>
        <w:numPr>
          <w:ilvl w:val="0"/>
          <w:numId w:val="5"/>
        </w:numPr>
        <w:tabs>
          <w:tab w:val="clear" w:pos="960"/>
          <w:tab w:val="left" w:pos="1080"/>
          <w:tab w:val="left" w:pos="1200"/>
        </w:tabs>
        <w:snapToGrid w:val="0"/>
        <w:spacing w:line="360" w:lineRule="exact"/>
        <w:ind w:left="1080" w:hanging="240"/>
        <w:jc w:val="both"/>
        <w:rPr>
          <w:rFonts w:ascii="Times New Roman" w:eastAsia="標楷體" w:hAnsi="標楷體"/>
        </w:rPr>
      </w:pPr>
      <w:r w:rsidRPr="00763F00">
        <w:rPr>
          <w:rFonts w:ascii="Times New Roman" w:eastAsia="標楷體" w:hAnsi="標楷體"/>
        </w:rPr>
        <w:t>Risk facto</w:t>
      </w:r>
      <w:r w:rsidRPr="00763F00">
        <w:rPr>
          <w:rFonts w:ascii="Times New Roman" w:eastAsia="標楷體" w:hAnsi="Times New Roman"/>
        </w:rPr>
        <w:t>rs for products or service are listed as follows:</w:t>
      </w:r>
    </w:p>
    <w:p w:rsidR="004C3379" w:rsidRPr="00763F00" w:rsidRDefault="004C3379" w:rsidP="00004FE6">
      <w:pPr>
        <w:pStyle w:val="a3"/>
        <w:numPr>
          <w:ilvl w:val="0"/>
          <w:numId w:val="6"/>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The degree of association with cash</w:t>
      </w:r>
    </w:p>
    <w:p w:rsidR="004C3379" w:rsidRPr="00763F00" w:rsidRDefault="004C3379" w:rsidP="00004FE6">
      <w:pPr>
        <w:pStyle w:val="a3"/>
        <w:numPr>
          <w:ilvl w:val="0"/>
          <w:numId w:val="6"/>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The channel to build business relationships, including whether it is a face-to-face transaction, electronic commerce, or transactions via new type of channel such as OIU.</w:t>
      </w:r>
    </w:p>
    <w:p w:rsidR="004C3379" w:rsidRPr="00763F00" w:rsidRDefault="004C3379" w:rsidP="00004FE6">
      <w:pPr>
        <w:pStyle w:val="a3"/>
        <w:numPr>
          <w:ilvl w:val="0"/>
          <w:numId w:val="6"/>
        </w:numPr>
        <w:tabs>
          <w:tab w:val="left" w:pos="1320"/>
        </w:tabs>
        <w:snapToGrid w:val="0"/>
        <w:spacing w:line="360" w:lineRule="exact"/>
        <w:ind w:leftChars="500" w:left="1320" w:hangingChars="50" w:hanging="120"/>
        <w:jc w:val="both"/>
        <w:rPr>
          <w:rFonts w:ascii="Times New Roman" w:eastAsia="標楷體" w:hAnsi="Times New Roman"/>
        </w:rPr>
      </w:pPr>
      <w:r w:rsidRPr="00763F00">
        <w:rPr>
          <w:rFonts w:ascii="Times New Roman" w:eastAsia="標楷體" w:hAnsi="Times New Roman"/>
        </w:rPr>
        <w:t>Whether it is of huge-amount premiums or high cash value.</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標楷體"/>
        </w:rPr>
      </w:pPr>
      <w:r w:rsidRPr="00763F00">
        <w:rPr>
          <w:rFonts w:ascii="Times New Roman" w:eastAsia="標楷體" w:hAnsi="標楷體"/>
        </w:rPr>
        <w:t>The insurer shall establish risk ratings and classification rules for different policyholders.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標楷體"/>
        </w:rPr>
      </w:pPr>
      <w:r w:rsidRPr="00763F00">
        <w:rPr>
          <w:rFonts w:ascii="Times New Roman" w:eastAsia="標楷體" w:hAnsi="標楷體"/>
        </w:rPr>
        <w:t xml:space="preserve">For the risk ratings of a policyholder, they should have at least two ratings (inclusive) or more for risk </w:t>
      </w:r>
      <w:r w:rsidRPr="00763F00">
        <w:rPr>
          <w:rFonts w:ascii="Times New Roman" w:eastAsia="標楷體" w:hAnsi="Times New Roman"/>
        </w:rPr>
        <w:t>classification</w:t>
      </w:r>
      <w:r w:rsidRPr="00763F00">
        <w:rPr>
          <w:rFonts w:ascii="Times New Roman" w:eastAsia="標楷體" w:hAnsi="標楷體"/>
        </w:rPr>
        <w:t>, i.e. "high risk" and "general risk", as the basis for enhancing policyholder  review measures and implementation of Strength of continuous monitoring mechanisms. For an insurer which adopts only two risk ratings, since its "general risk" rating is still higher than "low risk" rating indicated in the 5</w:t>
      </w:r>
      <w:r w:rsidRPr="00763F00">
        <w:rPr>
          <w:rFonts w:ascii="Times New Roman" w:eastAsia="標楷體" w:hAnsi="標楷體"/>
          <w:vertAlign w:val="superscript"/>
        </w:rPr>
        <w:t>th</w:t>
      </w:r>
      <w:r w:rsidRPr="00763F00">
        <w:rPr>
          <w:rFonts w:ascii="Times New Roman" w:eastAsia="標楷體" w:hAnsi="標楷體"/>
        </w:rPr>
        <w:t xml:space="preserve"> points and 7</w:t>
      </w:r>
      <w:r w:rsidRPr="00763F00">
        <w:rPr>
          <w:rFonts w:ascii="Times New Roman" w:eastAsia="標楷體" w:hAnsi="標楷體"/>
          <w:vertAlign w:val="superscript"/>
        </w:rPr>
        <w:t>th</w:t>
      </w:r>
      <w:r w:rsidRPr="00763F00">
        <w:rPr>
          <w:rFonts w:ascii="Times New Roman" w:eastAsia="標楷體" w:hAnsi="標楷體"/>
        </w:rPr>
        <w:t xml:space="preserve"> points of the Guidelines, it</w:t>
      </w:r>
      <w:r w:rsidRPr="00763F00">
        <w:rPr>
          <w:rFonts w:ascii="Arial" w:hAnsi="Arial" w:cs="Arial"/>
        </w:rPr>
        <w:t xml:space="preserve"> </w:t>
      </w:r>
      <w:r w:rsidRPr="00763F00">
        <w:rPr>
          <w:rFonts w:ascii="Times New Roman" w:eastAsia="標楷體" w:hAnsi="標楷體"/>
        </w:rPr>
        <w:t xml:space="preserve">shall not take simplified measures to a policyholder with the "general risk" rating. </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標楷體"/>
        </w:rPr>
        <w:t xml:space="preserve">The insurer is not allowed to disclose the information about the risk rating of a policyholder to its policyholders or persons unrelated to obligations of </w:t>
      </w:r>
      <w:r w:rsidRPr="00763F00">
        <w:rPr>
          <w:rFonts w:ascii="Times New Roman" w:eastAsia="標楷體" w:hAnsi="Times New Roman"/>
        </w:rPr>
        <w:t>implementing</w:t>
      </w:r>
      <w:r w:rsidRPr="00763F00">
        <w:rPr>
          <w:rFonts w:ascii="Times New Roman" w:eastAsia="標楷體" w:hAnsi="標楷體"/>
        </w:rPr>
        <w:t xml:space="preserve"> ant-money laundering.</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標楷體"/>
        </w:rPr>
      </w:pPr>
      <w:r w:rsidRPr="00763F00">
        <w:rPr>
          <w:rFonts w:ascii="Times New Roman" w:eastAsia="標楷體" w:hAnsi="標楷體"/>
        </w:rPr>
        <w:t>Those persons that hold important political positions in foreign countries, terrorist groups, or groups under economic sanctions, and identified or investigated by foreign governments or Anti-Money Laundering Organizations are regarded directly as high-risk clients. The insurer may, based on its own business type and consideration of associated risk factors, formulate types of clients which should be directly considered as high-risk policyholders.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 xml:space="preserve">The insurer may, </w:t>
      </w:r>
      <w:r w:rsidRPr="00763F00">
        <w:rPr>
          <w:rFonts w:ascii="Times New Roman" w:eastAsia="標楷體" w:hAnsi="標楷體"/>
        </w:rPr>
        <w:t>based</w:t>
      </w:r>
      <w:r w:rsidRPr="00763F00">
        <w:rPr>
          <w:rFonts w:ascii="Times New Roman" w:eastAsia="標楷體" w:hAnsi="Times New Roman"/>
        </w:rPr>
        <w:t xml:space="preserve"> on results of a complete written risk analysis, define by itself the types </w:t>
      </w:r>
      <w:r w:rsidRPr="00763F00">
        <w:rPr>
          <w:rFonts w:ascii="Times New Roman" w:eastAsia="標楷體" w:hAnsi="Times New Roman"/>
        </w:rPr>
        <w:lastRenderedPageBreak/>
        <w:t>of policyholders which should be directly considered as low-risk policyholders. The results of risk analysis should be able to fully describe that the type of policyholders matches to lower risk factors.</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Times New Roman"/>
        </w:rPr>
      </w:pPr>
      <w:r w:rsidRPr="00763F00">
        <w:rPr>
          <w:rFonts w:ascii="Times New Roman" w:eastAsia="標楷體" w:hAnsi="Times New Roman"/>
        </w:rPr>
        <w:t xml:space="preserve">For </w:t>
      </w:r>
      <w:r w:rsidRPr="00763F00">
        <w:rPr>
          <w:rFonts w:ascii="Times New Roman" w:eastAsia="標楷體" w:hAnsi="標楷體"/>
        </w:rPr>
        <w:t>policyholders</w:t>
      </w:r>
      <w:r w:rsidRPr="00763F00">
        <w:rPr>
          <w:rFonts w:ascii="Times New Roman" w:eastAsia="標楷體" w:hAnsi="Times New Roman"/>
        </w:rPr>
        <w:t xml:space="preserve"> to establish new business relations, the insurer shall determine their risk ratings when establishing business relations.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For existing policyholders with identified risk ratings, the insurer shall conduct a risk reassessment of policyholders based on its policies and procedures to assess risks.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Although the insurer has assessed risks to the policyholder when establishing a business relationship, for some policyholders, their overall risk profiles only become clear after insured events happening and claims filed by policyholders. Therefore, when finding out any significant change in information about the policyholder’s identification and background or detecting any change in the policyholder’s transaction patterns, the risk rating of the policyholder should be adjusted in a timely manner.</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As for the point of time to conduct a reassessment of policyholder risk, examples are as follows:</w:t>
      </w:r>
    </w:p>
    <w:p w:rsidR="004C3379" w:rsidRPr="00763F00" w:rsidRDefault="004C3379" w:rsidP="00B84032">
      <w:pPr>
        <w:pStyle w:val="a3"/>
        <w:numPr>
          <w:ilvl w:val="2"/>
          <w:numId w:val="2"/>
        </w:numPr>
        <w:tabs>
          <w:tab w:val="clear" w:pos="1320"/>
          <w:tab w:val="num" w:pos="840"/>
        </w:tabs>
        <w:snapToGrid w:val="0"/>
        <w:spacing w:line="360" w:lineRule="exact"/>
        <w:ind w:hanging="840"/>
        <w:jc w:val="both"/>
        <w:rPr>
          <w:rFonts w:ascii="Times New Roman" w:eastAsia="標楷體" w:hAnsi="Times New Roman"/>
        </w:rPr>
      </w:pPr>
      <w:r w:rsidRPr="00763F00">
        <w:rPr>
          <w:rFonts w:ascii="Times New Roman" w:eastAsia="標楷體" w:hAnsi="Times New Roman"/>
        </w:rPr>
        <w:t>When the insured amount of a policyholder unusually increases.</w:t>
      </w:r>
    </w:p>
    <w:p w:rsidR="004C3379" w:rsidRPr="00763F00" w:rsidRDefault="004C3379" w:rsidP="00B84032">
      <w:pPr>
        <w:pStyle w:val="a3"/>
        <w:numPr>
          <w:ilvl w:val="2"/>
          <w:numId w:val="2"/>
        </w:numPr>
        <w:tabs>
          <w:tab w:val="clear" w:pos="1320"/>
          <w:tab w:val="left" w:pos="600"/>
          <w:tab w:val="num" w:pos="840"/>
        </w:tabs>
        <w:snapToGrid w:val="0"/>
        <w:spacing w:line="360" w:lineRule="exact"/>
        <w:ind w:left="840"/>
        <w:jc w:val="both"/>
        <w:rPr>
          <w:rFonts w:ascii="Times New Roman" w:eastAsia="標楷體" w:hAnsi="Times New Roman"/>
        </w:rPr>
      </w:pPr>
      <w:r w:rsidRPr="00763F00">
        <w:rPr>
          <w:rFonts w:ascii="Times New Roman" w:eastAsia="標楷體" w:hAnsi="Times New Roman"/>
        </w:rPr>
        <w:t>When conducting a regular review of a policyholder according to risk ratings of a policyholder.</w:t>
      </w:r>
    </w:p>
    <w:p w:rsidR="004C3379" w:rsidRPr="00763F00" w:rsidRDefault="004C3379" w:rsidP="00B84032">
      <w:pPr>
        <w:pStyle w:val="a3"/>
        <w:numPr>
          <w:ilvl w:val="2"/>
          <w:numId w:val="2"/>
        </w:numPr>
        <w:tabs>
          <w:tab w:val="clear" w:pos="1320"/>
          <w:tab w:val="left" w:pos="600"/>
          <w:tab w:val="num" w:pos="840"/>
        </w:tabs>
        <w:snapToGrid w:val="0"/>
        <w:spacing w:line="360" w:lineRule="exact"/>
        <w:ind w:left="840"/>
        <w:jc w:val="both"/>
        <w:rPr>
          <w:rFonts w:ascii="Times New Roman" w:eastAsia="標楷體" w:hAnsi="Times New Roman"/>
        </w:rPr>
      </w:pPr>
      <w:r w:rsidRPr="00763F00">
        <w:rPr>
          <w:rFonts w:ascii="Times New Roman" w:eastAsia="標楷體" w:hAnsi="Times New Roman"/>
        </w:rPr>
        <w:t>When reporting suspected money laundering transactions and it may lead to an event occurred that substantially change the risk profile of a policyholder.</w:t>
      </w:r>
    </w:p>
    <w:p w:rsidR="004C3379" w:rsidRPr="00763F00" w:rsidRDefault="004C3379" w:rsidP="00B84032">
      <w:pPr>
        <w:pStyle w:val="a3"/>
        <w:snapToGrid w:val="0"/>
        <w:spacing w:line="360" w:lineRule="exact"/>
        <w:jc w:val="both"/>
        <w:rPr>
          <w:rFonts w:ascii="Times New Roman" w:eastAsia="標楷體" w:hAnsi="Times New Roman"/>
        </w:rPr>
      </w:pP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Times New Roman"/>
        </w:rPr>
      </w:pPr>
      <w:r w:rsidRPr="00763F00">
        <w:rPr>
          <w:rFonts w:ascii="Times New Roman" w:eastAsia="標楷體" w:hAnsi="Times New Roman"/>
        </w:rPr>
        <w:t>The insurer shall establish the corresponding control measures according to identified risks to reduce or prevent risks of money laundering. The insurer shall determine different control measures applicable to policyholders with different risk ratings based on risk profiles of policyholders.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Times New Roman"/>
        </w:rPr>
        <w:t>As for risk control measures, the insurer should take different control measures against all types of high-risk policyholders based on policies, monitoring and procedures of risk prevention to effectively manage and reduce the known risks, examples are as follows:</w:t>
      </w:r>
    </w:p>
    <w:p w:rsidR="004C3379" w:rsidRPr="00763F00" w:rsidRDefault="004C3379" w:rsidP="00444C35">
      <w:pPr>
        <w:pStyle w:val="a3"/>
        <w:numPr>
          <w:ilvl w:val="2"/>
          <w:numId w:val="2"/>
        </w:numPr>
        <w:tabs>
          <w:tab w:val="clear" w:pos="1320"/>
          <w:tab w:val="num" w:pos="840"/>
        </w:tabs>
        <w:snapToGrid w:val="0"/>
        <w:spacing w:line="360" w:lineRule="exact"/>
        <w:ind w:hanging="840"/>
        <w:jc w:val="both"/>
        <w:rPr>
          <w:rFonts w:ascii="Times New Roman" w:eastAsia="標楷體" w:hAnsi="標楷體"/>
        </w:rPr>
      </w:pPr>
      <w:r w:rsidRPr="00763F00">
        <w:rPr>
          <w:rFonts w:ascii="Times New Roman" w:eastAsia="標楷體" w:hAnsi="Times New Roman"/>
        </w:rPr>
        <w:t xml:space="preserve">Conduct the </w:t>
      </w:r>
      <w:r w:rsidRPr="00763F00">
        <w:rPr>
          <w:rFonts w:ascii="Times New Roman" w:eastAsia="標楷體" w:hAnsi="標楷體"/>
        </w:rPr>
        <w:t>Enhanced Due Diligence for a policyholder, for examples:</w:t>
      </w:r>
    </w:p>
    <w:p w:rsidR="004C3379" w:rsidRPr="00763F00" w:rsidRDefault="004C3379" w:rsidP="00444C35">
      <w:pPr>
        <w:pStyle w:val="a3"/>
        <w:numPr>
          <w:ilvl w:val="0"/>
          <w:numId w:val="10"/>
        </w:numPr>
        <w:tabs>
          <w:tab w:val="clear" w:pos="960"/>
          <w:tab w:val="left" w:pos="720"/>
          <w:tab w:val="left" w:pos="1080"/>
        </w:tabs>
        <w:snapToGrid w:val="0"/>
        <w:spacing w:line="360" w:lineRule="exact"/>
        <w:ind w:hanging="120"/>
        <w:jc w:val="both"/>
        <w:rPr>
          <w:rFonts w:ascii="Times New Roman" w:eastAsia="標楷體" w:hAnsi="標楷體"/>
        </w:rPr>
      </w:pPr>
      <w:r w:rsidRPr="00763F00">
        <w:rPr>
          <w:rFonts w:ascii="Times New Roman" w:eastAsia="標楷體" w:hAnsi="標楷體"/>
        </w:rPr>
        <w:t>Obtain relevant information about insurance application purpose.</w:t>
      </w:r>
    </w:p>
    <w:p w:rsidR="004C3379" w:rsidRPr="00763F00" w:rsidRDefault="004C3379" w:rsidP="00444C35">
      <w:pPr>
        <w:pStyle w:val="a3"/>
        <w:numPr>
          <w:ilvl w:val="0"/>
          <w:numId w:val="10"/>
        </w:numPr>
        <w:tabs>
          <w:tab w:val="clear" w:pos="960"/>
          <w:tab w:val="left" w:pos="720"/>
          <w:tab w:val="left" w:pos="1080"/>
        </w:tabs>
        <w:snapToGrid w:val="0"/>
        <w:spacing w:line="360" w:lineRule="exact"/>
        <w:ind w:hanging="120"/>
        <w:jc w:val="both"/>
        <w:rPr>
          <w:rFonts w:ascii="Times New Roman" w:eastAsia="標楷體" w:hAnsi="標楷體"/>
        </w:rPr>
      </w:pPr>
      <w:r w:rsidRPr="00763F00">
        <w:rPr>
          <w:rFonts w:ascii="Times New Roman" w:eastAsia="標楷體" w:hAnsi="標楷體"/>
        </w:rPr>
        <w:t>Obtain information about the actual beneficiary of a corporate policyholder.</w:t>
      </w:r>
    </w:p>
    <w:p w:rsidR="004C3379" w:rsidRPr="00763F00" w:rsidRDefault="004C3379" w:rsidP="00444C35">
      <w:pPr>
        <w:pStyle w:val="a3"/>
        <w:numPr>
          <w:ilvl w:val="0"/>
          <w:numId w:val="10"/>
        </w:numPr>
        <w:tabs>
          <w:tab w:val="clear" w:pos="960"/>
          <w:tab w:val="left" w:pos="720"/>
          <w:tab w:val="left" w:pos="1080"/>
          <w:tab w:val="left" w:pos="1200"/>
        </w:tabs>
        <w:snapToGrid w:val="0"/>
        <w:spacing w:line="360" w:lineRule="exact"/>
        <w:ind w:hanging="120"/>
        <w:jc w:val="both"/>
        <w:rPr>
          <w:rFonts w:ascii="Times New Roman" w:eastAsia="標楷體" w:hAnsi="標楷體"/>
        </w:rPr>
      </w:pPr>
      <w:r w:rsidRPr="00763F00">
        <w:rPr>
          <w:rFonts w:ascii="Times New Roman" w:eastAsia="標楷體" w:hAnsi="標楷體"/>
        </w:rPr>
        <w:lastRenderedPageBreak/>
        <w:t>Relevant information about financial underwriting regulations.</w:t>
      </w:r>
    </w:p>
    <w:p w:rsidR="004C3379" w:rsidRPr="00763F00" w:rsidRDefault="004C3379" w:rsidP="00444C35">
      <w:pPr>
        <w:pStyle w:val="a3"/>
        <w:numPr>
          <w:ilvl w:val="2"/>
          <w:numId w:val="2"/>
        </w:numPr>
        <w:tabs>
          <w:tab w:val="clear" w:pos="1320"/>
          <w:tab w:val="num" w:pos="840"/>
        </w:tabs>
        <w:snapToGrid w:val="0"/>
        <w:spacing w:line="360" w:lineRule="exact"/>
        <w:ind w:hanging="840"/>
        <w:jc w:val="both"/>
        <w:rPr>
          <w:rFonts w:ascii="Times New Roman" w:eastAsia="標楷體" w:hAnsi="Times New Roman"/>
        </w:rPr>
      </w:pPr>
      <w:r w:rsidRPr="00763F00">
        <w:rPr>
          <w:rFonts w:ascii="Times New Roman" w:eastAsia="標楷體" w:hAnsi="Times New Roman"/>
        </w:rPr>
        <w:t>Obtain the approval of the higher management level</w:t>
      </w:r>
    </w:p>
    <w:p w:rsidR="004C3379" w:rsidRPr="00763F00" w:rsidRDefault="004C3379" w:rsidP="00444C35">
      <w:pPr>
        <w:pStyle w:val="a3"/>
        <w:numPr>
          <w:ilvl w:val="2"/>
          <w:numId w:val="2"/>
        </w:numPr>
        <w:tabs>
          <w:tab w:val="clear" w:pos="1320"/>
          <w:tab w:val="num" w:pos="840"/>
        </w:tabs>
        <w:snapToGrid w:val="0"/>
        <w:spacing w:line="360" w:lineRule="exact"/>
        <w:ind w:hanging="840"/>
        <w:jc w:val="both"/>
        <w:rPr>
          <w:rFonts w:ascii="Times New Roman" w:eastAsia="標楷體" w:hAnsi="Times New Roman"/>
        </w:rPr>
      </w:pPr>
      <w:r w:rsidRPr="00763F00">
        <w:rPr>
          <w:rFonts w:ascii="Times New Roman" w:eastAsia="標楷體" w:hAnsi="Times New Roman"/>
        </w:rPr>
        <w:t>Increase the frequency of policyholder review</w:t>
      </w:r>
    </w:p>
    <w:p w:rsidR="004C3379" w:rsidRPr="00763F00" w:rsidRDefault="004C3379" w:rsidP="00444C35">
      <w:pPr>
        <w:pStyle w:val="a3"/>
        <w:numPr>
          <w:ilvl w:val="2"/>
          <w:numId w:val="2"/>
        </w:numPr>
        <w:tabs>
          <w:tab w:val="clear" w:pos="1320"/>
          <w:tab w:val="num" w:pos="840"/>
        </w:tabs>
        <w:snapToGrid w:val="0"/>
        <w:spacing w:line="360" w:lineRule="exact"/>
        <w:ind w:hanging="840"/>
        <w:jc w:val="both"/>
        <w:rPr>
          <w:rFonts w:ascii="Times New Roman" w:eastAsia="標楷體" w:hAnsi="標楷體"/>
        </w:rPr>
      </w:pPr>
      <w:r w:rsidRPr="00763F00">
        <w:rPr>
          <w:rFonts w:ascii="Times New Roman" w:eastAsia="標楷體" w:hAnsi="Times New Roman"/>
        </w:rPr>
        <w:t>En</w:t>
      </w:r>
      <w:r w:rsidRPr="00763F00">
        <w:rPr>
          <w:rFonts w:ascii="Times New Roman" w:eastAsia="標楷體" w:hAnsi="標楷體"/>
        </w:rPr>
        <w:t>hance the monitoring mechanism.</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標楷體"/>
        </w:rPr>
        <w:t>For policyholde</w:t>
      </w:r>
      <w:r w:rsidRPr="00763F00">
        <w:rPr>
          <w:rFonts w:ascii="Times New Roman" w:eastAsia="標楷體" w:hAnsi="Times New Roman"/>
        </w:rPr>
        <w:t xml:space="preserve">rs with the highest risk rating, the insurer shall conduct a client review at least once every two years. </w:t>
      </w:r>
    </w:p>
    <w:p w:rsidR="004C3379" w:rsidRPr="00763F00" w:rsidRDefault="004C3379" w:rsidP="00004FE6">
      <w:pPr>
        <w:pStyle w:val="a3"/>
        <w:tabs>
          <w:tab w:val="left" w:pos="2907"/>
        </w:tabs>
        <w:snapToGrid w:val="0"/>
        <w:spacing w:line="500" w:lineRule="exact"/>
        <w:ind w:leftChars="200" w:left="480" w:rightChars="-109" w:right="-262"/>
        <w:jc w:val="both"/>
      </w:pPr>
      <w:r w:rsidRPr="00763F00">
        <w:rPr>
          <w:rFonts w:ascii="Times New Roman" w:eastAsia="標楷體" w:hAnsi="Times New Roman"/>
        </w:rPr>
        <w:t>For those with low-risk ratings, the insurer may take simplified measures based on its policies, monitoring and pr</w:t>
      </w:r>
      <w:r w:rsidRPr="00763F00">
        <w:rPr>
          <w:rFonts w:ascii="Timtimes new roman" w:hAnsi="Timtimes new roman"/>
        </w:rPr>
        <w:t>ocedures of risk prevention. To simplify measures to confirm the policyholder’s identity, the following steps may be adopted:</w:t>
      </w:r>
      <w:r w:rsidRPr="00763F00">
        <w:rPr>
          <w:rFonts w:hint="eastAsia"/>
        </w:rPr>
        <w:t>。</w:t>
      </w:r>
    </w:p>
    <w:p w:rsidR="004C3379" w:rsidRPr="00763F00" w:rsidRDefault="004C3379" w:rsidP="00444C35">
      <w:pPr>
        <w:pStyle w:val="a3"/>
        <w:numPr>
          <w:ilvl w:val="0"/>
          <w:numId w:val="11"/>
        </w:numPr>
        <w:tabs>
          <w:tab w:val="clear" w:pos="1320"/>
        </w:tabs>
        <w:snapToGrid w:val="0"/>
        <w:spacing w:line="360" w:lineRule="exact"/>
        <w:ind w:left="840"/>
        <w:jc w:val="both"/>
        <w:rPr>
          <w:rFonts w:ascii="Times New Roman" w:eastAsia="標楷體" w:hAnsi="Times New Roman"/>
        </w:rPr>
      </w:pPr>
      <w:r w:rsidRPr="00763F00">
        <w:rPr>
          <w:rFonts w:ascii="Times New Roman" w:eastAsia="標楷體" w:hAnsi="標楷體"/>
        </w:rPr>
        <w:t>An insu</w:t>
      </w:r>
      <w:r w:rsidRPr="00763F00">
        <w:rPr>
          <w:rFonts w:ascii="Times New Roman" w:eastAsia="標楷體" w:hAnsi="Times New Roman"/>
        </w:rPr>
        <w:t xml:space="preserve">rer could rely on the identification and verification steps that it has already undertaken, be  allowed not to repeatedly identify and verify the identity of each policyholder every time that a policyholder conducts a transaction; whereas, if the policyholder’s risk rating changes, the insurer should take measures to verify the policyholder’s identity. </w:t>
      </w:r>
    </w:p>
    <w:p w:rsidR="004C3379" w:rsidRPr="00763F00" w:rsidRDefault="004C3379" w:rsidP="00444C35">
      <w:pPr>
        <w:pStyle w:val="a3"/>
        <w:numPr>
          <w:ilvl w:val="0"/>
          <w:numId w:val="11"/>
        </w:numPr>
        <w:tabs>
          <w:tab w:val="clear" w:pos="1320"/>
        </w:tabs>
        <w:snapToGrid w:val="0"/>
        <w:spacing w:line="360" w:lineRule="exact"/>
        <w:ind w:left="840"/>
        <w:jc w:val="both"/>
        <w:rPr>
          <w:rFonts w:ascii="Times New Roman" w:eastAsia="標楷體" w:hAnsi="標楷體"/>
        </w:rPr>
      </w:pPr>
      <w:r w:rsidRPr="00763F00">
        <w:rPr>
          <w:rFonts w:ascii="Times New Roman" w:eastAsia="標楷體" w:hAnsi="Times New Roman"/>
        </w:rPr>
        <w:t>Reduce the d</w:t>
      </w:r>
      <w:r w:rsidRPr="00763F00">
        <w:rPr>
          <w:rFonts w:ascii="Times New Roman" w:eastAsia="標楷體" w:hAnsi="標楷體"/>
        </w:rPr>
        <w:t>egree of continuous monitoring, and use a reasonable policy reserve or cash value corridor as a basis for reviewing transactions.</w:t>
      </w:r>
    </w:p>
    <w:p w:rsidR="004C3379" w:rsidRPr="00763F00" w:rsidRDefault="004C3379" w:rsidP="00444C35">
      <w:pPr>
        <w:pStyle w:val="a3"/>
        <w:numPr>
          <w:ilvl w:val="0"/>
          <w:numId w:val="11"/>
        </w:numPr>
        <w:tabs>
          <w:tab w:val="clear" w:pos="1320"/>
        </w:tabs>
        <w:snapToGrid w:val="0"/>
        <w:spacing w:line="360" w:lineRule="exact"/>
        <w:ind w:left="840"/>
        <w:jc w:val="both"/>
        <w:rPr>
          <w:rFonts w:ascii="Times New Roman" w:eastAsia="標楷體" w:hAnsi="標楷體"/>
        </w:rPr>
      </w:pPr>
      <w:r w:rsidRPr="00763F00">
        <w:rPr>
          <w:rFonts w:ascii="Times New Roman" w:eastAsia="標楷體" w:hAnsi="標楷體"/>
        </w:rPr>
        <w:t xml:space="preserve">If the purpose and nature can be deduced from the transaction type or the established business relationship, gathering specific information or performing special measures will not be necessary to understand the purpose and nature of the business relationship. </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標楷體"/>
        </w:rPr>
      </w:pPr>
      <w:r w:rsidRPr="00763F00">
        <w:rPr>
          <w:rFonts w:ascii="Times New Roman" w:eastAsia="標楷體" w:hAnsi="標楷體"/>
        </w:rPr>
        <w:t>However, when confirming the policyholder</w:t>
      </w:r>
      <w:r w:rsidRPr="00763F00">
        <w:rPr>
          <w:rFonts w:ascii="Times New Roman" w:eastAsia="標楷體" w:hAnsi="標楷體"/>
        </w:rPr>
        <w:t>’</w:t>
      </w:r>
      <w:r w:rsidRPr="00763F00">
        <w:rPr>
          <w:rFonts w:ascii="Times New Roman" w:eastAsia="標楷體" w:hAnsi="標楷體"/>
        </w:rPr>
        <w:t>s identity and continuous monitoring in accordance with the Paragraph 2, Article 4  of the Guidelines, simplified measures to confirm the policyholder</w:t>
      </w:r>
      <w:r w:rsidRPr="00763F00">
        <w:rPr>
          <w:rFonts w:ascii="Times New Roman" w:eastAsia="標楷體" w:hAnsi="標楷體"/>
        </w:rPr>
        <w:t>’</w:t>
      </w:r>
      <w:r w:rsidRPr="00763F00">
        <w:rPr>
          <w:rFonts w:ascii="Times New Roman" w:eastAsia="標楷體" w:hAnsi="標楷體"/>
        </w:rPr>
        <w:t>s identity shall not be taken in the following circumstances:</w:t>
      </w:r>
    </w:p>
    <w:p w:rsidR="004C3379" w:rsidRPr="00763F00" w:rsidRDefault="004C3379" w:rsidP="00444C35">
      <w:pPr>
        <w:pStyle w:val="a3"/>
        <w:numPr>
          <w:ilvl w:val="0"/>
          <w:numId w:val="12"/>
        </w:numPr>
        <w:tabs>
          <w:tab w:val="clear" w:pos="1320"/>
        </w:tabs>
        <w:snapToGrid w:val="0"/>
        <w:spacing w:line="360" w:lineRule="exact"/>
        <w:ind w:left="840"/>
        <w:jc w:val="both"/>
        <w:rPr>
          <w:rFonts w:ascii="Times New Roman" w:eastAsia="標楷體" w:hAnsi="標楷體"/>
        </w:rPr>
      </w:pPr>
      <w:r w:rsidRPr="00763F00">
        <w:rPr>
          <w:rFonts w:ascii="Times New Roman" w:eastAsia="標楷體" w:hAnsi="標楷體"/>
        </w:rPr>
        <w:t>Where th</w:t>
      </w:r>
      <w:r w:rsidRPr="00763F00">
        <w:rPr>
          <w:rFonts w:ascii="Times New Roman" w:eastAsia="標楷體" w:hAnsi="Times New Roman"/>
        </w:rPr>
        <w:t xml:space="preserve">e </w:t>
      </w:r>
      <w:r w:rsidRPr="00763F00">
        <w:rPr>
          <w:rFonts w:ascii="Times New Roman" w:eastAsia="標楷體" w:hAnsi="標楷體"/>
        </w:rPr>
        <w:t>policyholders are from or in countries and territories, including but not limited to those countries or territories which fail to comply with the suggestions of international money laundering prevention organizations, as released by international money laundering organizations via the Financial Supervisory Commission, and those that are materially defective in the prevention of money laundering and combating the financing of terrorism in any other countries or territories.</w:t>
      </w:r>
    </w:p>
    <w:p w:rsidR="004C3379" w:rsidRPr="00763F00" w:rsidRDefault="004C3379" w:rsidP="00444C35">
      <w:pPr>
        <w:pStyle w:val="a3"/>
        <w:numPr>
          <w:ilvl w:val="0"/>
          <w:numId w:val="12"/>
        </w:numPr>
        <w:tabs>
          <w:tab w:val="clear" w:pos="1320"/>
        </w:tabs>
        <w:snapToGrid w:val="0"/>
        <w:spacing w:line="360" w:lineRule="exact"/>
        <w:ind w:left="840"/>
        <w:jc w:val="both"/>
        <w:rPr>
          <w:rFonts w:ascii="Times New Roman" w:eastAsia="標楷體" w:hAnsi="Times New Roman"/>
        </w:rPr>
      </w:pPr>
      <w:r w:rsidRPr="00763F00">
        <w:rPr>
          <w:rFonts w:ascii="Times New Roman" w:eastAsia="標楷體" w:hAnsi="標楷體"/>
        </w:rPr>
        <w:t>Where the insurer h</w:t>
      </w:r>
      <w:r w:rsidRPr="00763F00">
        <w:rPr>
          <w:rFonts w:ascii="Times New Roman" w:eastAsia="標楷體" w:hAnsi="Times New Roman"/>
        </w:rPr>
        <w:t>as sufficient reason to suspect there are money laundering or terrorism financing activities involved with the policyholder or in the transaction</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標楷體"/>
        </w:rPr>
      </w:pPr>
      <w:r w:rsidRPr="00763F00">
        <w:rPr>
          <w:rFonts w:ascii="Times New Roman" w:eastAsia="標楷體" w:hAnsi="標楷體"/>
        </w:rPr>
        <w:t xml:space="preserve">The insurer shall establish a regular and comprehensive risk assessment of money laundering and financing of terrorism for the management to be able to timely and effectively understand the </w:t>
      </w:r>
      <w:r w:rsidRPr="00763F00">
        <w:rPr>
          <w:rFonts w:ascii="Times New Roman" w:eastAsia="標楷體" w:hAnsi="Times New Roman"/>
        </w:rPr>
        <w:t>overall</w:t>
      </w:r>
      <w:r w:rsidRPr="00763F00">
        <w:rPr>
          <w:rFonts w:ascii="Times New Roman" w:eastAsia="標楷體" w:hAnsi="標楷體"/>
        </w:rPr>
        <w:t xml:space="preserve"> risks faced by the insurer in money laundering and financing of terrorism, and decide </w:t>
      </w:r>
      <w:r w:rsidRPr="00763F00">
        <w:rPr>
          <w:rFonts w:ascii="Times New Roman" w:eastAsia="標楷體" w:hAnsi="標楷體"/>
        </w:rPr>
        <w:lastRenderedPageBreak/>
        <w:t>the mechanism which should be established and develop appropriate measures to risk reduction.</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標楷體"/>
        </w:rPr>
      </w:pPr>
      <w:r w:rsidRPr="00763F00">
        <w:rPr>
          <w:rFonts w:ascii="Times New Roman" w:eastAsia="標楷體" w:hAnsi="標楷體"/>
        </w:rPr>
        <w:t>The insurer shall build a regular and comprehensive risk assessment of money laundering and financing of terrorism based on the following indicators:</w:t>
      </w:r>
    </w:p>
    <w:p w:rsidR="004C3379" w:rsidRPr="00763F00" w:rsidRDefault="004C3379" w:rsidP="00A24522">
      <w:pPr>
        <w:pStyle w:val="a3"/>
        <w:numPr>
          <w:ilvl w:val="0"/>
          <w:numId w:val="14"/>
        </w:numPr>
        <w:tabs>
          <w:tab w:val="clear" w:pos="1320"/>
          <w:tab w:val="num" w:pos="840"/>
        </w:tabs>
        <w:snapToGrid w:val="0"/>
        <w:spacing w:line="360" w:lineRule="exact"/>
        <w:ind w:hanging="840"/>
        <w:jc w:val="both"/>
        <w:rPr>
          <w:rFonts w:ascii="Times New Roman" w:eastAsia="標楷體" w:hAnsi="標楷體"/>
        </w:rPr>
      </w:pPr>
      <w:r w:rsidRPr="00763F00">
        <w:rPr>
          <w:rFonts w:ascii="Times New Roman" w:eastAsia="標楷體" w:hAnsi="標楷體"/>
        </w:rPr>
        <w:t>The nature, scale, diversity and complexity of businesses</w:t>
      </w:r>
    </w:p>
    <w:p w:rsidR="004C3379" w:rsidRPr="00763F00" w:rsidRDefault="004C3379" w:rsidP="00A24522">
      <w:pPr>
        <w:pStyle w:val="a3"/>
        <w:numPr>
          <w:ilvl w:val="0"/>
          <w:numId w:val="14"/>
        </w:numPr>
        <w:tabs>
          <w:tab w:val="clear" w:pos="1320"/>
          <w:tab w:val="num" w:pos="840"/>
        </w:tabs>
        <w:snapToGrid w:val="0"/>
        <w:spacing w:line="360" w:lineRule="exact"/>
        <w:ind w:left="840"/>
        <w:jc w:val="both"/>
        <w:rPr>
          <w:rFonts w:ascii="Times New Roman" w:eastAsia="標楷體" w:hAnsi="標楷體"/>
        </w:rPr>
      </w:pPr>
      <w:r w:rsidRPr="00763F00">
        <w:rPr>
          <w:rFonts w:ascii="Times New Roman" w:eastAsia="標楷體" w:hAnsi="標楷體"/>
        </w:rPr>
        <w:t>Management data and reports associated with high risks: such as the number and proportion of high-risk policyholders, the amount, quantity or proportion of high-risk products or business, policyholder</w:t>
      </w:r>
      <w:r w:rsidRPr="00763F00">
        <w:rPr>
          <w:rFonts w:ascii="Times New Roman" w:eastAsia="標楷體" w:hAnsi="標楷體"/>
        </w:rPr>
        <w:t>’</w:t>
      </w:r>
      <w:r w:rsidRPr="00763F00">
        <w:rPr>
          <w:rFonts w:ascii="Times New Roman" w:eastAsia="標楷體" w:hAnsi="標楷體"/>
        </w:rPr>
        <w:t xml:space="preserve"> nationality, place of registration or place of business, the amount or proportion of products or business involving high-risk areas, etc.</w:t>
      </w:r>
    </w:p>
    <w:p w:rsidR="004C3379" w:rsidRPr="00763F00" w:rsidRDefault="004C3379" w:rsidP="00A24522">
      <w:pPr>
        <w:pStyle w:val="a3"/>
        <w:numPr>
          <w:ilvl w:val="0"/>
          <w:numId w:val="14"/>
        </w:numPr>
        <w:tabs>
          <w:tab w:val="clear" w:pos="1320"/>
          <w:tab w:val="num" w:pos="840"/>
        </w:tabs>
        <w:snapToGrid w:val="0"/>
        <w:spacing w:line="360" w:lineRule="exact"/>
        <w:ind w:left="840"/>
        <w:jc w:val="both"/>
        <w:rPr>
          <w:rFonts w:ascii="Times New Roman" w:eastAsia="標楷體" w:hAnsi="標楷體"/>
        </w:rPr>
      </w:pPr>
      <w:r w:rsidRPr="00763F00">
        <w:rPr>
          <w:rFonts w:ascii="Times New Roman" w:eastAsia="標楷體" w:hAnsi="標楷體"/>
        </w:rPr>
        <w:t>Business and products, including the channel and manner to provide services and products to policyholders, the way to implement the policyholder review measures, such as the extent to use of information systems, whether the third person is entrusted to perform the review, etc.</w:t>
      </w:r>
    </w:p>
    <w:p w:rsidR="004C3379" w:rsidRPr="00763F00" w:rsidRDefault="004C3379" w:rsidP="00A24522">
      <w:pPr>
        <w:pStyle w:val="a3"/>
        <w:numPr>
          <w:ilvl w:val="0"/>
          <w:numId w:val="14"/>
        </w:numPr>
        <w:tabs>
          <w:tab w:val="clear" w:pos="1320"/>
          <w:tab w:val="num" w:pos="840"/>
        </w:tabs>
        <w:snapToGrid w:val="0"/>
        <w:spacing w:line="360" w:lineRule="exact"/>
        <w:ind w:hanging="840"/>
        <w:jc w:val="both"/>
        <w:rPr>
          <w:rFonts w:ascii="Times New Roman" w:eastAsia="標楷體" w:hAnsi="標楷體"/>
        </w:rPr>
      </w:pPr>
      <w:r w:rsidRPr="00763F00">
        <w:rPr>
          <w:rFonts w:ascii="Times New Roman" w:eastAsia="標楷體" w:hAnsi="標楷體"/>
        </w:rPr>
        <w:t>The inspected results from internal audit and the supervisory authority.</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標楷體"/>
        </w:rPr>
      </w:pPr>
      <w:r w:rsidRPr="00763F00">
        <w:rPr>
          <w:rFonts w:ascii="Times New Roman" w:eastAsia="標楷體" w:hAnsi="標楷體"/>
        </w:rPr>
        <w:t>When the insurer conducts a comprehensive risk assessment of money laundering and financing of terrorism, in addition to considering the above indicators, the information obtained from other internal and external sources is recommended as supporting information. For example:</w:t>
      </w:r>
    </w:p>
    <w:p w:rsidR="004C3379" w:rsidRPr="00763F00" w:rsidRDefault="004C3379" w:rsidP="00A24522">
      <w:pPr>
        <w:pStyle w:val="a3"/>
        <w:numPr>
          <w:ilvl w:val="0"/>
          <w:numId w:val="15"/>
        </w:numPr>
        <w:tabs>
          <w:tab w:val="clear" w:pos="1320"/>
          <w:tab w:val="num" w:pos="840"/>
        </w:tabs>
        <w:snapToGrid w:val="0"/>
        <w:spacing w:line="360" w:lineRule="exact"/>
        <w:ind w:left="840"/>
        <w:jc w:val="both"/>
        <w:rPr>
          <w:rFonts w:ascii="Times New Roman" w:eastAsia="標楷體" w:hAnsi="標楷體"/>
        </w:rPr>
      </w:pPr>
      <w:r w:rsidRPr="00763F00">
        <w:rPr>
          <w:rFonts w:ascii="Times New Roman" w:eastAsia="標楷體" w:hAnsi="標楷體"/>
        </w:rPr>
        <w:t>The management reports provided by the insurer</w:t>
      </w:r>
      <w:r w:rsidRPr="00763F00">
        <w:rPr>
          <w:rFonts w:ascii="Times New Roman" w:eastAsia="標楷體" w:hAnsi="標楷體"/>
        </w:rPr>
        <w:t>’</w:t>
      </w:r>
      <w:r w:rsidRPr="00763F00">
        <w:rPr>
          <w:rFonts w:ascii="Times New Roman" w:eastAsia="標楷體" w:hAnsi="標楷體"/>
        </w:rPr>
        <w:t>s internal management (such as supervisors of business units, or relationship managers of clients, etc.).</w:t>
      </w:r>
    </w:p>
    <w:p w:rsidR="004C3379" w:rsidRPr="00763F00" w:rsidRDefault="004C3379" w:rsidP="00A24522">
      <w:pPr>
        <w:pStyle w:val="a3"/>
        <w:numPr>
          <w:ilvl w:val="0"/>
          <w:numId w:val="15"/>
        </w:numPr>
        <w:tabs>
          <w:tab w:val="clear" w:pos="1320"/>
          <w:tab w:val="num" w:pos="840"/>
        </w:tabs>
        <w:snapToGrid w:val="0"/>
        <w:spacing w:line="360" w:lineRule="exact"/>
        <w:ind w:left="840"/>
        <w:jc w:val="both"/>
        <w:rPr>
          <w:rFonts w:ascii="Times New Roman" w:eastAsia="標楷體" w:hAnsi="標楷體"/>
        </w:rPr>
      </w:pPr>
      <w:r w:rsidRPr="00763F00">
        <w:rPr>
          <w:rFonts w:ascii="Times New Roman" w:eastAsia="標楷體" w:hAnsi="標楷體"/>
        </w:rPr>
        <w:t>Relevant reports released by international organizations and other countries for prevention of money laundering and combating financing of terrorism.</w:t>
      </w:r>
    </w:p>
    <w:p w:rsidR="004C3379" w:rsidRPr="00763F00" w:rsidRDefault="004C3379" w:rsidP="00A24522">
      <w:pPr>
        <w:pStyle w:val="a3"/>
        <w:numPr>
          <w:ilvl w:val="0"/>
          <w:numId w:val="15"/>
        </w:numPr>
        <w:tabs>
          <w:tab w:val="clear" w:pos="1320"/>
          <w:tab w:val="num" w:pos="840"/>
        </w:tabs>
        <w:snapToGrid w:val="0"/>
        <w:spacing w:line="360" w:lineRule="exact"/>
        <w:ind w:left="840"/>
        <w:jc w:val="both"/>
        <w:rPr>
          <w:rFonts w:ascii="Times New Roman" w:eastAsia="標楷體" w:hAnsi="標楷體"/>
        </w:rPr>
      </w:pPr>
      <w:r w:rsidRPr="00763F00">
        <w:rPr>
          <w:rFonts w:ascii="Times New Roman" w:eastAsia="標楷體" w:hAnsi="標楷體"/>
        </w:rPr>
        <w:t>Information released by the Competent Authorities on risks of money laundering and financing of terrorism.</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rPr>
      </w:pPr>
      <w:r w:rsidRPr="00763F00">
        <w:rPr>
          <w:rFonts w:ascii="Times New Roman" w:eastAsia="標楷體" w:hAnsi="標楷體"/>
        </w:rPr>
        <w:t>The results of the insurer</w:t>
      </w:r>
      <w:r w:rsidRPr="00763F00">
        <w:rPr>
          <w:rFonts w:ascii="Times New Roman" w:eastAsia="標楷體" w:hAnsi="標楷體"/>
        </w:rPr>
        <w:t>’</w:t>
      </w:r>
      <w:r w:rsidRPr="00763F00">
        <w:rPr>
          <w:rFonts w:ascii="Times New Roman" w:eastAsia="標楷體" w:hAnsi="標楷體"/>
        </w:rPr>
        <w:t xml:space="preserve">s comprehensive risk assessment of money laundering and financing of terrorism should be used as a basis for </w:t>
      </w:r>
      <w:r w:rsidRPr="00763F00">
        <w:rPr>
          <w:rFonts w:ascii="Times New Roman" w:eastAsia="標楷體" w:hAnsi="Times New Roman"/>
        </w:rPr>
        <w:t>the development of a program on anti-money laundering and combating the financing of terrorism. The insurer should allocate adequate personnel and resources based on the results of risks assessment and take effective countermeasures to prevent or reduce risks.</w:t>
      </w:r>
    </w:p>
    <w:p w:rsidR="004C3379" w:rsidRPr="00763F00" w:rsidRDefault="004C3379" w:rsidP="00004FE6">
      <w:pPr>
        <w:pStyle w:val="a3"/>
        <w:tabs>
          <w:tab w:val="left" w:pos="2907"/>
        </w:tabs>
        <w:snapToGrid w:val="0"/>
        <w:spacing w:line="500" w:lineRule="exact"/>
        <w:ind w:leftChars="200" w:left="480" w:rightChars="-109" w:right="-262"/>
        <w:jc w:val="both"/>
        <w:rPr>
          <w:rFonts w:ascii="Times New Roman" w:eastAsia="標楷體" w:hAnsi="Times New Roman"/>
          <w:bCs/>
          <w:spacing w:val="30"/>
          <w:sz w:val="28"/>
          <w:szCs w:val="28"/>
        </w:rPr>
      </w:pPr>
      <w:r w:rsidRPr="00763F00">
        <w:rPr>
          <w:rFonts w:ascii="Times New Roman" w:eastAsia="標楷體" w:hAnsi="Times New Roman"/>
        </w:rPr>
        <w:t xml:space="preserve">With any major </w:t>
      </w:r>
      <w:r w:rsidRPr="00763F00">
        <w:rPr>
          <w:rFonts w:ascii="Times New Roman" w:eastAsia="標楷體" w:hAnsi="標楷體"/>
        </w:rPr>
        <w:t>change</w:t>
      </w:r>
      <w:r w:rsidRPr="00763F00">
        <w:rPr>
          <w:rFonts w:ascii="Times New Roman" w:eastAsia="標楷體" w:hAnsi="Times New Roman"/>
        </w:rPr>
        <w:t xml:space="preserve"> in the insurer itself, such as the occurrence of major events, major development of management and operation, or the happening of new relevant threats, the assessment should be re-conducted.</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Times New Roman"/>
          <w:bCs/>
          <w:spacing w:val="30"/>
          <w:sz w:val="28"/>
          <w:szCs w:val="28"/>
        </w:rPr>
      </w:pPr>
      <w:r w:rsidRPr="00763F00">
        <w:rPr>
          <w:rFonts w:ascii="Times New Roman" w:eastAsia="標楷體" w:hAnsi="Times New Roman"/>
        </w:rPr>
        <w:t xml:space="preserve">The insurer shall formulate a program on anti-money laundering and combating the financing of </w:t>
      </w:r>
      <w:r w:rsidRPr="00763F00">
        <w:rPr>
          <w:rFonts w:ascii="Times New Roman" w:eastAsia="標楷體" w:hAnsi="Times New Roman"/>
        </w:rPr>
        <w:lastRenderedPageBreak/>
        <w:t xml:space="preserve">terrorism according to its risks of money laundering and financing of terrorist. In addition to </w:t>
      </w:r>
      <w:r w:rsidRPr="00763F00">
        <w:rPr>
          <w:rFonts w:ascii="Times New Roman" w:eastAsia="標楷體" w:hAnsi="標楷體"/>
        </w:rPr>
        <w:t>the</w:t>
      </w:r>
      <w:r w:rsidRPr="00763F00">
        <w:rPr>
          <w:rFonts w:ascii="Times New Roman" w:eastAsia="標楷體" w:hAnsi="Times New Roman"/>
        </w:rPr>
        <w:t xml:space="preserve"> confirmation of the policyholder’s identity, record keeping, and internal policies, procedures and controls for reporting of currency delivery above a certain amount and transactions suspected of money laundering, the content should also include the management personnel designated to coordinate and supervise the implementation of anti-money laundering and combating the financing of terrorism, establish a proper employee selection process under careful consideration, implement consecutive employee training programs, and test the system effectiveness of anti-money laundering and combating the financing of terrorism for internal policies, procedures and controls such as the independent audit function. The action may be taken by the insurer based on the relevant stipulations of the Guidelines.</w:t>
      </w:r>
    </w:p>
    <w:p w:rsidR="004C3379" w:rsidRPr="00763F00" w:rsidRDefault="004C3379" w:rsidP="00004FE6">
      <w:pPr>
        <w:pStyle w:val="a3"/>
        <w:numPr>
          <w:ilvl w:val="0"/>
          <w:numId w:val="2"/>
        </w:numPr>
        <w:tabs>
          <w:tab w:val="left" w:pos="720"/>
          <w:tab w:val="left" w:pos="2907"/>
        </w:tabs>
        <w:snapToGrid w:val="0"/>
        <w:spacing w:line="500" w:lineRule="exact"/>
        <w:ind w:rightChars="-109" w:right="-262"/>
        <w:jc w:val="both"/>
        <w:rPr>
          <w:rFonts w:ascii="Times New Roman" w:eastAsia="標楷體" w:hAnsi="Times New Roman"/>
        </w:rPr>
      </w:pPr>
      <w:r w:rsidRPr="00763F00">
        <w:rPr>
          <w:rFonts w:ascii="Times New Roman" w:eastAsia="標楷體" w:hAnsi="Times New Roman"/>
        </w:rPr>
        <w:t xml:space="preserve">The policies formulated by the insurer in accordance with the Guidelines should be implemented after the approval of the board resolution (or Authority in charge according to the Delegation of Authority) and reported to the Financial Supervisory Commission for record with the </w:t>
      </w:r>
      <w:r w:rsidRPr="00763F00">
        <w:rPr>
          <w:rFonts w:ascii="Times New Roman" w:eastAsia="標楷體" w:hAnsi="Times New Roman" w:hint="eastAsia"/>
        </w:rPr>
        <w:t>“</w:t>
      </w:r>
      <w:r w:rsidRPr="00763F00">
        <w:rPr>
          <w:rFonts w:ascii="Times New Roman" w:eastAsia="標楷體" w:hAnsi="Times New Roman"/>
        </w:rPr>
        <w:t>Guidelines Governing Anti-Money Laundering and Combating the Financing of Terrorism by the Insurance Sector.</w:t>
      </w:r>
      <w:r w:rsidRPr="00763F00">
        <w:rPr>
          <w:rFonts w:ascii="Times New Roman" w:eastAsia="標楷體" w:hAnsi="Times New Roman" w:hint="eastAsia"/>
        </w:rPr>
        <w:t>”</w:t>
      </w:r>
      <w:r w:rsidRPr="00763F00">
        <w:rPr>
          <w:rFonts w:ascii="Times New Roman" w:eastAsia="標楷體" w:hAnsi="Times New Roman"/>
        </w:rPr>
        <w:t xml:space="preserve"> The policies should be reviewed periodically. The same applies to any amendment thereto.</w:t>
      </w:r>
    </w:p>
    <w:p w:rsidR="004C3379" w:rsidRDefault="004C3379" w:rsidP="00004FE6">
      <w:pPr>
        <w:pStyle w:val="a3"/>
        <w:tabs>
          <w:tab w:val="left" w:pos="720"/>
          <w:tab w:val="left" w:pos="2907"/>
        </w:tabs>
        <w:snapToGrid w:val="0"/>
        <w:spacing w:line="500" w:lineRule="exact"/>
        <w:ind w:rightChars="-109" w:right="-262"/>
        <w:jc w:val="both"/>
        <w:rPr>
          <w:rFonts w:ascii="Times New Roman" w:eastAsia="標楷體" w:hAnsi="Times New Roman"/>
          <w:bCs/>
          <w:spacing w:val="30"/>
          <w:sz w:val="28"/>
          <w:szCs w:val="28"/>
        </w:rPr>
      </w:pPr>
    </w:p>
    <w:p w:rsidR="004C3379" w:rsidRDefault="004C3379" w:rsidP="00763F00">
      <w:pPr>
        <w:spacing w:line="360" w:lineRule="exact"/>
        <w:rPr>
          <w:rFonts w:eastAsia="標楷體" w:hAnsi="標楷體"/>
          <w:color w:val="0D0D0D"/>
        </w:rPr>
      </w:pPr>
      <w:r w:rsidRPr="00ED3D80">
        <w:rPr>
          <w:rFonts w:eastAsia="標楷體" w:hAnsi="標楷體"/>
          <w:color w:val="0D0D0D"/>
        </w:rPr>
        <w:t xml:space="preserve">Appendix: </w:t>
      </w:r>
    </w:p>
    <w:p w:rsidR="004C3379" w:rsidRPr="00ED3D80" w:rsidRDefault="004C3379" w:rsidP="00763F00">
      <w:pPr>
        <w:spacing w:line="360" w:lineRule="exact"/>
        <w:rPr>
          <w:rFonts w:eastAsia="標楷體"/>
          <w:color w:val="0D0D0D"/>
        </w:rPr>
      </w:pPr>
      <w:r w:rsidRPr="00ED3D80">
        <w:rPr>
          <w:rFonts w:eastAsia="標楷體" w:hAnsi="標楷體"/>
          <w:color w:val="0D0D0D"/>
        </w:rPr>
        <w:t xml:space="preserve">References for formulating </w:t>
      </w:r>
      <w:r w:rsidRPr="00ED3D80">
        <w:rPr>
          <w:rFonts w:eastAsia="標楷體"/>
          <w:color w:val="0D0D0D"/>
        </w:rPr>
        <w:t>a list of regions with higher risks of money laundering and financing of terrorism</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color w:val="0D0D0D"/>
        </w:rPr>
        <w:t>1.</w:t>
      </w:r>
      <w:r>
        <w:rPr>
          <w:rFonts w:eastAsia="標楷體"/>
          <w:color w:val="0D0D0D"/>
        </w:rPr>
        <w:tab/>
      </w:r>
      <w:r w:rsidRPr="00ED3D80">
        <w:rPr>
          <w:rFonts w:eastAsia="標楷體" w:hAnsi="標楷體"/>
          <w:color w:val="0D0D0D"/>
        </w:rPr>
        <w:t>Countries or territories which fail to comply with the suggestions of international money laundering prevention organizations, as released by international money laundering organizations via the Financial Supervisory Commission, and those that are materially defective in the prevention of money laundering and combating the financing of terrorism in any other countries or territories.</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hAnsi="標楷體"/>
          <w:color w:val="0D0D0D"/>
        </w:rPr>
        <w:t>2.</w:t>
      </w:r>
      <w:r>
        <w:rPr>
          <w:rFonts w:eastAsia="標楷體" w:hAnsi="標楷體"/>
          <w:color w:val="0D0D0D"/>
        </w:rPr>
        <w:tab/>
      </w:r>
      <w:r w:rsidRPr="00ED3D80">
        <w:rPr>
          <w:rFonts w:eastAsia="標楷體" w:hAnsi="標楷體"/>
          <w:color w:val="0D0D0D"/>
        </w:rPr>
        <w:t xml:space="preserve">Countries or territories under which economic sanctions or other similar measures are taken by the United Nations, the </w:t>
      </w:r>
      <w:smartTag w:uri="urn:schemas-microsoft-com:office:smarttags" w:element="country-region">
        <w:smartTag w:uri="urn:schemas-microsoft-com:office:smarttags" w:element="place">
          <w:r w:rsidRPr="00ED3D80">
            <w:rPr>
              <w:rFonts w:eastAsia="標楷體" w:hAnsi="標楷體"/>
              <w:color w:val="0D0D0D"/>
            </w:rPr>
            <w:t>United States</w:t>
          </w:r>
        </w:smartTag>
      </w:smartTag>
      <w:r w:rsidRPr="00ED3D80">
        <w:rPr>
          <w:rFonts w:eastAsia="標楷體" w:hAnsi="標楷體"/>
          <w:color w:val="0D0D0D"/>
        </w:rPr>
        <w:t xml:space="preserve"> or the European Union.</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hAnsi="標楷體"/>
          <w:color w:val="0D0D0D"/>
        </w:rPr>
        <w:t>3.</w:t>
      </w:r>
      <w:r>
        <w:rPr>
          <w:rFonts w:eastAsia="標楷體" w:hAnsi="標楷體"/>
          <w:color w:val="0D0D0D"/>
        </w:rPr>
        <w:tab/>
      </w:r>
      <w:r w:rsidRPr="00ED3D80">
        <w:rPr>
          <w:rFonts w:eastAsia="標楷體" w:hAnsi="標楷體"/>
          <w:color w:val="0D0D0D"/>
        </w:rPr>
        <w:t xml:space="preserve">Countries or territories which are Offshore Financial Centers (IMF Offshore Financial Centers. </w:t>
      </w:r>
      <w:hyperlink r:id="rId7" w:history="1">
        <w:r w:rsidRPr="00ED3D80">
          <w:rPr>
            <w:rStyle w:val="ac"/>
            <w:rFonts w:eastAsia="標楷體" w:hAnsi="標楷體"/>
          </w:rPr>
          <w:t>http://www.imf.org/external/NP/ofca/OFCA.aspx</w:t>
        </w:r>
      </w:hyperlink>
      <w:r w:rsidRPr="00ED3D80">
        <w:rPr>
          <w:rFonts w:eastAsia="標楷體" w:hAnsi="標楷體"/>
          <w:color w:val="0D0D0D"/>
        </w:rPr>
        <w:t>) released by International Monetary Fund.</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hAnsi="標楷體"/>
          <w:color w:val="0D0D0D"/>
        </w:rPr>
        <w:t>4.</w:t>
      </w:r>
      <w:r>
        <w:rPr>
          <w:rFonts w:eastAsia="標楷體" w:hAnsi="標楷體"/>
          <w:color w:val="0D0D0D"/>
        </w:rPr>
        <w:tab/>
      </w:r>
      <w:r w:rsidRPr="00ED3D80">
        <w:rPr>
          <w:rFonts w:eastAsia="標楷體" w:hAnsi="標楷體"/>
          <w:color w:val="0D0D0D"/>
        </w:rPr>
        <w:t xml:space="preserve">Countries or territories with primary money laundering concern (Special Measures for Jurisdictions, Financial Institutions, or International Transactions of Primary Money Laundering </w:t>
      </w:r>
      <w:r w:rsidRPr="00ED3D80">
        <w:rPr>
          <w:rFonts w:eastAsia="標楷體" w:hAnsi="標楷體"/>
          <w:color w:val="0D0D0D"/>
        </w:rPr>
        <w:lastRenderedPageBreak/>
        <w:t xml:space="preserve">Concern. </w:t>
      </w:r>
      <w:hyperlink r:id="rId8" w:history="1">
        <w:r w:rsidRPr="00ED3D80">
          <w:rPr>
            <w:rStyle w:val="ac"/>
            <w:rFonts w:eastAsia="標楷體" w:hAnsi="標楷體"/>
          </w:rPr>
          <w:t>http://www.fincen.gov/statutes_regs/patriot/section311.html</w:t>
        </w:r>
      </w:hyperlink>
      <w:r w:rsidRPr="00ED3D80">
        <w:rPr>
          <w:rFonts w:eastAsia="標楷體" w:hAnsi="標楷體"/>
          <w:color w:val="0D0D0D"/>
        </w:rPr>
        <w:t>) indicated by USA PATRIOT Ac</w:t>
      </w:r>
      <w:r w:rsidRPr="00ED3D80">
        <w:rPr>
          <w:rFonts w:eastAsia="標楷體"/>
          <w:color w:val="0D0D0D"/>
        </w:rPr>
        <w:t>t’s S</w:t>
      </w:r>
      <w:r w:rsidRPr="00ED3D80">
        <w:rPr>
          <w:rFonts w:eastAsia="標楷體" w:hAnsi="標楷體"/>
          <w:color w:val="0D0D0D"/>
        </w:rPr>
        <w:t>ection 311.</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hAnsi="標楷體"/>
          <w:color w:val="0D0D0D"/>
        </w:rPr>
        <w:t>5.</w:t>
      </w:r>
      <w:r>
        <w:rPr>
          <w:rFonts w:eastAsia="標楷體" w:hAnsi="標楷體"/>
          <w:color w:val="0D0D0D"/>
        </w:rPr>
        <w:tab/>
      </w:r>
      <w:r w:rsidRPr="00ED3D80">
        <w:rPr>
          <w:rFonts w:eastAsia="標楷體"/>
          <w:color w:val="0D0D0D"/>
        </w:rPr>
        <w:t xml:space="preserve">Countries or territories with a considerable degree of corruption listed by the Corruption Perceptions Index of Transparency International </w:t>
      </w:r>
      <w:r w:rsidRPr="00ED3D80">
        <w:rPr>
          <w:rFonts w:eastAsia="標楷體" w:hAnsi="標楷體"/>
          <w:color w:val="0D0D0D"/>
        </w:rPr>
        <w:t xml:space="preserve">(Transparency International's Corruption Perceptions Index. </w:t>
      </w:r>
      <w:hyperlink r:id="rId9" w:history="1">
        <w:r w:rsidRPr="00ED3D80">
          <w:rPr>
            <w:rStyle w:val="ac"/>
            <w:rFonts w:eastAsia="標楷體" w:hAnsi="標楷體"/>
          </w:rPr>
          <w:t>http://cpi.transparency.org/cpi2013/in_detail/</w:t>
        </w:r>
      </w:hyperlink>
      <w:r w:rsidRPr="00ED3D80">
        <w:rPr>
          <w:rFonts w:eastAsia="標楷體" w:hAnsi="標楷體"/>
          <w:color w:val="0D0D0D"/>
        </w:rPr>
        <w:t>).</w:t>
      </w:r>
    </w:p>
    <w:p w:rsidR="004C3379" w:rsidRPr="00ED3D80" w:rsidRDefault="004C3379" w:rsidP="00004FE6">
      <w:pPr>
        <w:spacing w:line="360" w:lineRule="exact"/>
        <w:ind w:left="240" w:hangingChars="100" w:hanging="240"/>
        <w:rPr>
          <w:rFonts w:eastAsia="標楷體" w:hAnsi="標楷體"/>
          <w:color w:val="0D0D0D"/>
        </w:rPr>
      </w:pPr>
      <w:r w:rsidRPr="00ED3D80">
        <w:rPr>
          <w:rFonts w:eastAsia="標楷體" w:hAnsi="標楷體"/>
          <w:color w:val="0D0D0D"/>
        </w:rPr>
        <w:t>6.</w:t>
      </w:r>
      <w:r>
        <w:rPr>
          <w:rFonts w:eastAsia="標楷體" w:hAnsi="標楷體"/>
          <w:color w:val="0D0D0D"/>
        </w:rPr>
        <w:tab/>
      </w:r>
      <w:r w:rsidRPr="00ED3D80">
        <w:rPr>
          <w:rFonts w:eastAsia="標楷體"/>
          <w:color w:val="0D0D0D"/>
        </w:rPr>
        <w:t xml:space="preserve">Countries or territories which provide the </w:t>
      </w:r>
      <w:r w:rsidRPr="00ED3D80">
        <w:rPr>
          <w:rFonts w:eastAsia="標楷體" w:hAnsi="標楷體"/>
          <w:color w:val="0D0D0D"/>
        </w:rPr>
        <w:t xml:space="preserve">financing or support of terrorist (such as State Sponsors of Terrorism released </w:t>
      </w:r>
      <w:r w:rsidRPr="00ED3D80">
        <w:rPr>
          <w:rFonts w:eastAsia="標楷體"/>
          <w:color w:val="0D0D0D"/>
        </w:rPr>
        <w:t xml:space="preserve">by United States Department of State, </w:t>
      </w:r>
      <w:hyperlink r:id="rId10" w:history="1">
        <w:r w:rsidRPr="00ED3D80">
          <w:rPr>
            <w:rStyle w:val="ac"/>
            <w:rFonts w:eastAsia="標楷體" w:hAnsi="標楷體"/>
          </w:rPr>
          <w:t>http://www.state.gov/j/ct/list/c14151.htm</w:t>
        </w:r>
      </w:hyperlink>
      <w:r w:rsidRPr="00ED3D80">
        <w:rPr>
          <w:rFonts w:eastAsia="標楷體" w:hAnsi="標楷體"/>
          <w:color w:val="0D0D0D"/>
        </w:rPr>
        <w:t>) or involve the listing of terrorist group activities.</w:t>
      </w:r>
    </w:p>
    <w:p w:rsidR="004C3379" w:rsidRDefault="004C3379" w:rsidP="00004FE6">
      <w:pPr>
        <w:pStyle w:val="a3"/>
        <w:tabs>
          <w:tab w:val="left" w:pos="2907"/>
        </w:tabs>
        <w:snapToGrid w:val="0"/>
        <w:spacing w:line="500" w:lineRule="exact"/>
        <w:ind w:rightChars="-109" w:right="-262"/>
        <w:rPr>
          <w:rFonts w:ascii="Times New Roman" w:eastAsia="標楷體" w:hAnsi="Times New Roman"/>
          <w:bCs/>
          <w:spacing w:val="30"/>
          <w:sz w:val="28"/>
          <w:szCs w:val="28"/>
        </w:rPr>
      </w:pPr>
    </w:p>
    <w:p w:rsidR="004C3379" w:rsidRPr="00317DB9" w:rsidRDefault="004C3379" w:rsidP="009A145C">
      <w:pPr>
        <w:pStyle w:val="a3"/>
        <w:snapToGrid w:val="0"/>
        <w:spacing w:line="360" w:lineRule="exact"/>
        <w:ind w:leftChars="-59" w:left="-142" w:rightChars="-24" w:right="-58"/>
        <w:jc w:val="center"/>
        <w:rPr>
          <w:rFonts w:ascii="Times New Roman" w:eastAsia="標楷體" w:hAnsi="Times New Roman"/>
          <w:bCs/>
          <w:color w:val="0D0D0D"/>
          <w:spacing w:val="30"/>
        </w:rPr>
      </w:pPr>
      <w:r w:rsidRPr="00317DB9">
        <w:rPr>
          <w:rFonts w:ascii="Times New Roman" w:eastAsia="標楷體" w:hAnsi="Times New Roman"/>
          <w:bCs/>
          <w:color w:val="0D0D0D"/>
          <w:spacing w:val="30"/>
        </w:rPr>
        <w:t xml:space="preserve"> </w:t>
      </w:r>
    </w:p>
    <w:sectPr w:rsidR="004C3379" w:rsidRPr="00317DB9" w:rsidSect="002C48A7">
      <w:footerReference w:type="default" r:id="rId11"/>
      <w:pgSz w:w="12240" w:h="15840" w:code="1"/>
      <w:pgMar w:top="851" w:right="1361" w:bottom="1247" w:left="1361" w:header="851" w:footer="86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A62" w:rsidRDefault="00122A62" w:rsidP="00005D3A">
      <w:r>
        <w:separator/>
      </w:r>
    </w:p>
  </w:endnote>
  <w:endnote w:type="continuationSeparator" w:id="0">
    <w:p w:rsidR="00122A62" w:rsidRDefault="00122A62" w:rsidP="0000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Tim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79" w:rsidRDefault="00591B1C" w:rsidP="002C48A7">
    <w:pPr>
      <w:pStyle w:val="a8"/>
      <w:jc w:val="center"/>
    </w:pPr>
    <w:r>
      <w:fldChar w:fldCharType="begin"/>
    </w:r>
    <w:r>
      <w:instrText xml:space="preserve"> PAGE   \* MERGEFORMAT </w:instrText>
    </w:r>
    <w:r>
      <w:fldChar w:fldCharType="separate"/>
    </w:r>
    <w:r w:rsidR="00B31F0F" w:rsidRPr="00B31F0F">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A62" w:rsidRDefault="00122A62" w:rsidP="00005D3A">
      <w:r>
        <w:separator/>
      </w:r>
    </w:p>
  </w:footnote>
  <w:footnote w:type="continuationSeparator" w:id="0">
    <w:p w:rsidR="00122A62" w:rsidRDefault="00122A62" w:rsidP="00005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D1530"/>
    <w:multiLevelType w:val="hybridMultilevel"/>
    <w:tmpl w:val="170C6CFC"/>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1B6A7266"/>
    <w:multiLevelType w:val="hybridMultilevel"/>
    <w:tmpl w:val="934C4086"/>
    <w:lvl w:ilvl="0" w:tplc="D910B7E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B92595D"/>
    <w:multiLevelType w:val="multilevel"/>
    <w:tmpl w:val="170C6CFC"/>
    <w:lvl w:ilvl="0">
      <w:start w:val="1"/>
      <w:numFmt w:val="decimal"/>
      <w:lvlText w:val="(%1)"/>
      <w:lvlJc w:val="left"/>
      <w:pPr>
        <w:tabs>
          <w:tab w:val="num" w:pos="1320"/>
        </w:tabs>
        <w:ind w:left="132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3" w15:restartNumberingAfterBreak="0">
    <w:nsid w:val="22427346"/>
    <w:multiLevelType w:val="hybridMultilevel"/>
    <w:tmpl w:val="46023C92"/>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2B5231F5"/>
    <w:multiLevelType w:val="multilevel"/>
    <w:tmpl w:val="6254C25C"/>
    <w:lvl w:ilvl="0">
      <w:start w:val="1"/>
      <w:numFmt w:val="upperRoman"/>
      <w:lvlText w:val="%1."/>
      <w:lvlJc w:val="left"/>
      <w:pPr>
        <w:tabs>
          <w:tab w:val="num" w:pos="960"/>
        </w:tabs>
        <w:ind w:left="960" w:hanging="480"/>
      </w:pPr>
      <w:rPr>
        <w:rFonts w:cs="Times New Roman"/>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5" w15:restartNumberingAfterBreak="0">
    <w:nsid w:val="2EDC6395"/>
    <w:multiLevelType w:val="hybridMultilevel"/>
    <w:tmpl w:val="F7CAC1B8"/>
    <w:lvl w:ilvl="0" w:tplc="04090013">
      <w:start w:val="1"/>
      <w:numFmt w:val="upperRoman"/>
      <w:lvlText w:val="%1."/>
      <w:lvlJc w:val="left"/>
      <w:pPr>
        <w:tabs>
          <w:tab w:val="num" w:pos="960"/>
        </w:tabs>
        <w:ind w:left="960" w:hanging="480"/>
      </w:pPr>
      <w:rPr>
        <w:rFonts w:cs="Times New Roman"/>
      </w:rPr>
    </w:lvl>
    <w:lvl w:ilvl="1" w:tplc="0409001B">
      <w:start w:val="1"/>
      <w:numFmt w:val="lowerRoman"/>
      <w:lvlText w:val="%2."/>
      <w:lvlJc w:val="righ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6" w15:restartNumberingAfterBreak="0">
    <w:nsid w:val="33337131"/>
    <w:multiLevelType w:val="hybridMultilevel"/>
    <w:tmpl w:val="59FC8DDC"/>
    <w:lvl w:ilvl="0" w:tplc="04090013">
      <w:start w:val="1"/>
      <w:numFmt w:val="upperRoman"/>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15:restartNumberingAfterBreak="0">
    <w:nsid w:val="368F3D9A"/>
    <w:multiLevelType w:val="hybridMultilevel"/>
    <w:tmpl w:val="E29AD5BA"/>
    <w:lvl w:ilvl="0" w:tplc="0409001B">
      <w:start w:val="1"/>
      <w:numFmt w:val="lowerRoman"/>
      <w:lvlText w:val="%1."/>
      <w:lvlJc w:val="right"/>
      <w:pPr>
        <w:tabs>
          <w:tab w:val="num" w:pos="1440"/>
        </w:tabs>
        <w:ind w:left="1440" w:hanging="480"/>
      </w:pPr>
      <w:rPr>
        <w:rFonts w:cs="Times New Roman"/>
      </w:rPr>
    </w:lvl>
    <w:lvl w:ilvl="1" w:tplc="D814274C">
      <w:start w:val="1"/>
      <w:numFmt w:val="decimal"/>
      <w:lvlText w:val="%2."/>
      <w:lvlJc w:val="left"/>
      <w:pPr>
        <w:tabs>
          <w:tab w:val="num" w:pos="1335"/>
        </w:tabs>
        <w:ind w:left="1335" w:hanging="375"/>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8" w15:restartNumberingAfterBreak="0">
    <w:nsid w:val="3D2A2AAA"/>
    <w:multiLevelType w:val="hybridMultilevel"/>
    <w:tmpl w:val="0E982944"/>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4B176590"/>
    <w:multiLevelType w:val="hybridMultilevel"/>
    <w:tmpl w:val="3A6211E2"/>
    <w:lvl w:ilvl="0" w:tplc="04090013">
      <w:start w:val="1"/>
      <w:numFmt w:val="upperRoman"/>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0" w15:restartNumberingAfterBreak="0">
    <w:nsid w:val="60932B69"/>
    <w:multiLevelType w:val="hybridMultilevel"/>
    <w:tmpl w:val="4B2E706A"/>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61E15341"/>
    <w:multiLevelType w:val="hybridMultilevel"/>
    <w:tmpl w:val="F03A76B0"/>
    <w:lvl w:ilvl="0" w:tplc="CEEA7416">
      <w:start w:val="1"/>
      <w:numFmt w:val="decimal"/>
      <w:lvlText w:val="%1."/>
      <w:lvlJc w:val="left"/>
      <w:pPr>
        <w:tabs>
          <w:tab w:val="num" w:pos="480"/>
        </w:tabs>
        <w:ind w:left="480" w:hanging="480"/>
      </w:pPr>
      <w:rPr>
        <w:rFonts w:cs="Times New Roman"/>
        <w:sz w:val="24"/>
        <w:szCs w:val="24"/>
      </w:rPr>
    </w:lvl>
    <w:lvl w:ilvl="1" w:tplc="04090013">
      <w:start w:val="1"/>
      <w:numFmt w:val="upperRoman"/>
      <w:lvlText w:val="%2."/>
      <w:lvlJc w:val="left"/>
      <w:pPr>
        <w:tabs>
          <w:tab w:val="num" w:pos="960"/>
        </w:tabs>
        <w:ind w:left="960" w:hanging="480"/>
      </w:pPr>
      <w:rPr>
        <w:rFonts w:cs="Times New Roman"/>
      </w:rPr>
    </w:lvl>
    <w:lvl w:ilvl="2" w:tplc="2C041BF4">
      <w:start w:val="1"/>
      <w:numFmt w:val="decimal"/>
      <w:lvlText w:val="(%3)"/>
      <w:lvlJc w:val="left"/>
      <w:pPr>
        <w:tabs>
          <w:tab w:val="num" w:pos="1320"/>
        </w:tabs>
        <w:ind w:left="1320" w:hanging="360"/>
      </w:pPr>
      <w:rPr>
        <w:rFonts w:cs="Times New Roman" w:hint="default"/>
      </w:rPr>
    </w:lvl>
    <w:lvl w:ilvl="3" w:tplc="04090001">
      <w:start w:val="1"/>
      <w:numFmt w:val="bullet"/>
      <w:lvlText w:val=""/>
      <w:lvlJc w:val="left"/>
      <w:pPr>
        <w:tabs>
          <w:tab w:val="num" w:pos="1920"/>
        </w:tabs>
        <w:ind w:left="1920" w:hanging="480"/>
      </w:pPr>
      <w:rPr>
        <w:rFonts w:ascii="Wingdings" w:hAnsi="Wingdings" w:hint="default"/>
        <w:sz w:val="2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76543501"/>
    <w:multiLevelType w:val="hybridMultilevel"/>
    <w:tmpl w:val="6254C25C"/>
    <w:lvl w:ilvl="0" w:tplc="04090013">
      <w:start w:val="1"/>
      <w:numFmt w:val="upperRoman"/>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15:restartNumberingAfterBreak="0">
    <w:nsid w:val="772F223E"/>
    <w:multiLevelType w:val="hybridMultilevel"/>
    <w:tmpl w:val="D0803CCC"/>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7F1B75A1"/>
    <w:multiLevelType w:val="hybridMultilevel"/>
    <w:tmpl w:val="CC0A4C10"/>
    <w:lvl w:ilvl="0" w:tplc="2C041BF4">
      <w:start w:val="1"/>
      <w:numFmt w:val="decimal"/>
      <w:lvlText w:val="(%1)"/>
      <w:lvlJc w:val="left"/>
      <w:pPr>
        <w:tabs>
          <w:tab w:val="num" w:pos="1320"/>
        </w:tabs>
        <w:ind w:left="132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
  </w:num>
  <w:num w:numId="2">
    <w:abstractNumId w:val="11"/>
  </w:num>
  <w:num w:numId="3">
    <w:abstractNumId w:val="6"/>
  </w:num>
  <w:num w:numId="4">
    <w:abstractNumId w:val="5"/>
  </w:num>
  <w:num w:numId="5">
    <w:abstractNumId w:val="12"/>
  </w:num>
  <w:num w:numId="6">
    <w:abstractNumId w:val="7"/>
  </w:num>
  <w:num w:numId="7">
    <w:abstractNumId w:val="3"/>
  </w:num>
  <w:num w:numId="8">
    <w:abstractNumId w:val="13"/>
  </w:num>
  <w:num w:numId="9">
    <w:abstractNumId w:val="4"/>
  </w:num>
  <w:num w:numId="10">
    <w:abstractNumId w:val="9"/>
  </w:num>
  <w:num w:numId="11">
    <w:abstractNumId w:val="14"/>
  </w:num>
  <w:num w:numId="12">
    <w:abstractNumId w:val="0"/>
  </w:num>
  <w:num w:numId="13">
    <w:abstractNumId w:val="2"/>
  </w:num>
  <w:num w:numId="14">
    <w:abstractNumId w:val="8"/>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EE0"/>
    <w:rsid w:val="00004FE6"/>
    <w:rsid w:val="00005D3A"/>
    <w:rsid w:val="00010224"/>
    <w:rsid w:val="000128A7"/>
    <w:rsid w:val="00015C5E"/>
    <w:rsid w:val="00022E2A"/>
    <w:rsid w:val="000333B7"/>
    <w:rsid w:val="00036041"/>
    <w:rsid w:val="0003636A"/>
    <w:rsid w:val="00041DFB"/>
    <w:rsid w:val="00041F8E"/>
    <w:rsid w:val="00050DE7"/>
    <w:rsid w:val="000938B6"/>
    <w:rsid w:val="00095954"/>
    <w:rsid w:val="000B4FEC"/>
    <w:rsid w:val="000B5AA7"/>
    <w:rsid w:val="000C5E4A"/>
    <w:rsid w:val="000D0A5B"/>
    <w:rsid w:val="000D25CE"/>
    <w:rsid w:val="000D34A4"/>
    <w:rsid w:val="000E3ED5"/>
    <w:rsid w:val="000E45E7"/>
    <w:rsid w:val="00100F70"/>
    <w:rsid w:val="001015D0"/>
    <w:rsid w:val="001059D3"/>
    <w:rsid w:val="00110FC2"/>
    <w:rsid w:val="001157DC"/>
    <w:rsid w:val="00122A62"/>
    <w:rsid w:val="00127166"/>
    <w:rsid w:val="00130994"/>
    <w:rsid w:val="00131CF2"/>
    <w:rsid w:val="001329FF"/>
    <w:rsid w:val="0013462C"/>
    <w:rsid w:val="00134DBA"/>
    <w:rsid w:val="0013726A"/>
    <w:rsid w:val="00137488"/>
    <w:rsid w:val="001441DF"/>
    <w:rsid w:val="00146E12"/>
    <w:rsid w:val="00153143"/>
    <w:rsid w:val="00160B78"/>
    <w:rsid w:val="0016335B"/>
    <w:rsid w:val="00171330"/>
    <w:rsid w:val="00171831"/>
    <w:rsid w:val="00187FBB"/>
    <w:rsid w:val="001913ED"/>
    <w:rsid w:val="001A2D8D"/>
    <w:rsid w:val="001A41F8"/>
    <w:rsid w:val="001B4B38"/>
    <w:rsid w:val="001C7F90"/>
    <w:rsid w:val="001D2D5A"/>
    <w:rsid w:val="001D6F11"/>
    <w:rsid w:val="001E044F"/>
    <w:rsid w:val="001E0612"/>
    <w:rsid w:val="001E36E4"/>
    <w:rsid w:val="001E70D0"/>
    <w:rsid w:val="001F3757"/>
    <w:rsid w:val="001F5F73"/>
    <w:rsid w:val="001F6B8D"/>
    <w:rsid w:val="00200B7B"/>
    <w:rsid w:val="00204084"/>
    <w:rsid w:val="00205006"/>
    <w:rsid w:val="002051B6"/>
    <w:rsid w:val="00207B2B"/>
    <w:rsid w:val="002146CE"/>
    <w:rsid w:val="00215CEF"/>
    <w:rsid w:val="002218FA"/>
    <w:rsid w:val="00221BBB"/>
    <w:rsid w:val="00221F2D"/>
    <w:rsid w:val="00225EED"/>
    <w:rsid w:val="00230476"/>
    <w:rsid w:val="002331B9"/>
    <w:rsid w:val="00252395"/>
    <w:rsid w:val="00255648"/>
    <w:rsid w:val="00257AFD"/>
    <w:rsid w:val="00264345"/>
    <w:rsid w:val="00264838"/>
    <w:rsid w:val="002866B8"/>
    <w:rsid w:val="002958D9"/>
    <w:rsid w:val="00297537"/>
    <w:rsid w:val="002B5F30"/>
    <w:rsid w:val="002C2A11"/>
    <w:rsid w:val="002C48A7"/>
    <w:rsid w:val="002D2A86"/>
    <w:rsid w:val="002D697A"/>
    <w:rsid w:val="002E47B1"/>
    <w:rsid w:val="002F2E8C"/>
    <w:rsid w:val="002F3766"/>
    <w:rsid w:val="00302BD4"/>
    <w:rsid w:val="00303D6C"/>
    <w:rsid w:val="00307423"/>
    <w:rsid w:val="00317DB9"/>
    <w:rsid w:val="00334D5E"/>
    <w:rsid w:val="00342662"/>
    <w:rsid w:val="003559CC"/>
    <w:rsid w:val="0036034A"/>
    <w:rsid w:val="0037625C"/>
    <w:rsid w:val="00380BA8"/>
    <w:rsid w:val="003812AE"/>
    <w:rsid w:val="003B0B2F"/>
    <w:rsid w:val="003B2F6F"/>
    <w:rsid w:val="003B6F76"/>
    <w:rsid w:val="003C65DC"/>
    <w:rsid w:val="003E66DB"/>
    <w:rsid w:val="003F1DF4"/>
    <w:rsid w:val="003F20A3"/>
    <w:rsid w:val="003F37F0"/>
    <w:rsid w:val="003F42C7"/>
    <w:rsid w:val="00400013"/>
    <w:rsid w:val="0040318D"/>
    <w:rsid w:val="00420DCE"/>
    <w:rsid w:val="00431647"/>
    <w:rsid w:val="00431E80"/>
    <w:rsid w:val="00435A23"/>
    <w:rsid w:val="004364C8"/>
    <w:rsid w:val="00437DCF"/>
    <w:rsid w:val="00442C8C"/>
    <w:rsid w:val="00444C35"/>
    <w:rsid w:val="00446ED1"/>
    <w:rsid w:val="00452058"/>
    <w:rsid w:val="004525BF"/>
    <w:rsid w:val="00461ED0"/>
    <w:rsid w:val="004701DB"/>
    <w:rsid w:val="00471486"/>
    <w:rsid w:val="004774F2"/>
    <w:rsid w:val="00477614"/>
    <w:rsid w:val="00481AA5"/>
    <w:rsid w:val="00486260"/>
    <w:rsid w:val="004B2C39"/>
    <w:rsid w:val="004B546B"/>
    <w:rsid w:val="004B74D2"/>
    <w:rsid w:val="004C3379"/>
    <w:rsid w:val="004C6E7C"/>
    <w:rsid w:val="004D2E23"/>
    <w:rsid w:val="004D3060"/>
    <w:rsid w:val="004D645A"/>
    <w:rsid w:val="004E35B0"/>
    <w:rsid w:val="004E7E47"/>
    <w:rsid w:val="00500410"/>
    <w:rsid w:val="00501944"/>
    <w:rsid w:val="005128EC"/>
    <w:rsid w:val="0051462C"/>
    <w:rsid w:val="00520565"/>
    <w:rsid w:val="00521CEF"/>
    <w:rsid w:val="00525F99"/>
    <w:rsid w:val="005263B0"/>
    <w:rsid w:val="00537758"/>
    <w:rsid w:val="005431C6"/>
    <w:rsid w:val="00544DE2"/>
    <w:rsid w:val="005563D3"/>
    <w:rsid w:val="00560D1E"/>
    <w:rsid w:val="00574D23"/>
    <w:rsid w:val="00582553"/>
    <w:rsid w:val="00591B1C"/>
    <w:rsid w:val="00593EEE"/>
    <w:rsid w:val="005974D9"/>
    <w:rsid w:val="005A3FB4"/>
    <w:rsid w:val="005A4E19"/>
    <w:rsid w:val="005A7635"/>
    <w:rsid w:val="005B10AD"/>
    <w:rsid w:val="005B19F7"/>
    <w:rsid w:val="005C333A"/>
    <w:rsid w:val="005C67DE"/>
    <w:rsid w:val="005D4B76"/>
    <w:rsid w:val="005D547D"/>
    <w:rsid w:val="005E361B"/>
    <w:rsid w:val="005E71AB"/>
    <w:rsid w:val="005F00F6"/>
    <w:rsid w:val="005F457D"/>
    <w:rsid w:val="00603697"/>
    <w:rsid w:val="00603E92"/>
    <w:rsid w:val="006148CE"/>
    <w:rsid w:val="006356F4"/>
    <w:rsid w:val="0064183D"/>
    <w:rsid w:val="00650B18"/>
    <w:rsid w:val="00653D91"/>
    <w:rsid w:val="00655860"/>
    <w:rsid w:val="00656ABB"/>
    <w:rsid w:val="00656CF9"/>
    <w:rsid w:val="00656D00"/>
    <w:rsid w:val="00657C63"/>
    <w:rsid w:val="00682048"/>
    <w:rsid w:val="00684E5C"/>
    <w:rsid w:val="00694E12"/>
    <w:rsid w:val="006956AD"/>
    <w:rsid w:val="006A0D2B"/>
    <w:rsid w:val="006B6DE9"/>
    <w:rsid w:val="006C241F"/>
    <w:rsid w:val="006C5F49"/>
    <w:rsid w:val="006C64A4"/>
    <w:rsid w:val="006D69AE"/>
    <w:rsid w:val="006E26AA"/>
    <w:rsid w:val="006F042A"/>
    <w:rsid w:val="006F5270"/>
    <w:rsid w:val="006F7446"/>
    <w:rsid w:val="007024A9"/>
    <w:rsid w:val="00705234"/>
    <w:rsid w:val="00706103"/>
    <w:rsid w:val="0071302C"/>
    <w:rsid w:val="00715342"/>
    <w:rsid w:val="007160E6"/>
    <w:rsid w:val="00724141"/>
    <w:rsid w:val="0072466C"/>
    <w:rsid w:val="007264F4"/>
    <w:rsid w:val="00727528"/>
    <w:rsid w:val="00727D9C"/>
    <w:rsid w:val="007307FB"/>
    <w:rsid w:val="00735E21"/>
    <w:rsid w:val="007377B3"/>
    <w:rsid w:val="00742F57"/>
    <w:rsid w:val="007505A8"/>
    <w:rsid w:val="00751656"/>
    <w:rsid w:val="0075287D"/>
    <w:rsid w:val="00755910"/>
    <w:rsid w:val="00761EE5"/>
    <w:rsid w:val="00763F00"/>
    <w:rsid w:val="00764FCC"/>
    <w:rsid w:val="007662FC"/>
    <w:rsid w:val="00766476"/>
    <w:rsid w:val="00767DA6"/>
    <w:rsid w:val="007741CA"/>
    <w:rsid w:val="00777F4B"/>
    <w:rsid w:val="007A0FC1"/>
    <w:rsid w:val="007A5B34"/>
    <w:rsid w:val="007A7D88"/>
    <w:rsid w:val="007B49A5"/>
    <w:rsid w:val="007B713A"/>
    <w:rsid w:val="007C4066"/>
    <w:rsid w:val="007C4C07"/>
    <w:rsid w:val="007D176D"/>
    <w:rsid w:val="007D1CC2"/>
    <w:rsid w:val="007D7C68"/>
    <w:rsid w:val="007F2FB0"/>
    <w:rsid w:val="0080261D"/>
    <w:rsid w:val="00815F95"/>
    <w:rsid w:val="00816C0F"/>
    <w:rsid w:val="00825D8B"/>
    <w:rsid w:val="00833DDB"/>
    <w:rsid w:val="00836ACF"/>
    <w:rsid w:val="008402F9"/>
    <w:rsid w:val="00841A7F"/>
    <w:rsid w:val="008456E4"/>
    <w:rsid w:val="00856ABB"/>
    <w:rsid w:val="00870042"/>
    <w:rsid w:val="00875C56"/>
    <w:rsid w:val="00886005"/>
    <w:rsid w:val="008A1042"/>
    <w:rsid w:val="008B0445"/>
    <w:rsid w:val="008B4892"/>
    <w:rsid w:val="008C408B"/>
    <w:rsid w:val="008C540C"/>
    <w:rsid w:val="008C6CBA"/>
    <w:rsid w:val="008D203D"/>
    <w:rsid w:val="008D5A28"/>
    <w:rsid w:val="008D5BD6"/>
    <w:rsid w:val="008D6104"/>
    <w:rsid w:val="008D730E"/>
    <w:rsid w:val="008E02EB"/>
    <w:rsid w:val="008E0C68"/>
    <w:rsid w:val="008E2D4E"/>
    <w:rsid w:val="008F0444"/>
    <w:rsid w:val="008F16FF"/>
    <w:rsid w:val="009001F5"/>
    <w:rsid w:val="009025E6"/>
    <w:rsid w:val="00902AE0"/>
    <w:rsid w:val="00915353"/>
    <w:rsid w:val="009177A2"/>
    <w:rsid w:val="00922BB8"/>
    <w:rsid w:val="00925EBF"/>
    <w:rsid w:val="009513E8"/>
    <w:rsid w:val="009526C2"/>
    <w:rsid w:val="0096569D"/>
    <w:rsid w:val="0097622B"/>
    <w:rsid w:val="00976CD2"/>
    <w:rsid w:val="0098231D"/>
    <w:rsid w:val="00983AAD"/>
    <w:rsid w:val="00986433"/>
    <w:rsid w:val="009901A6"/>
    <w:rsid w:val="00992087"/>
    <w:rsid w:val="009951FE"/>
    <w:rsid w:val="009A145C"/>
    <w:rsid w:val="009A1F4A"/>
    <w:rsid w:val="009A55B1"/>
    <w:rsid w:val="009A5CD8"/>
    <w:rsid w:val="009A60CE"/>
    <w:rsid w:val="009A73CA"/>
    <w:rsid w:val="009B5EAF"/>
    <w:rsid w:val="009C137F"/>
    <w:rsid w:val="009C6D2C"/>
    <w:rsid w:val="009E072E"/>
    <w:rsid w:val="009E39F9"/>
    <w:rsid w:val="009F3674"/>
    <w:rsid w:val="00A00A3E"/>
    <w:rsid w:val="00A12411"/>
    <w:rsid w:val="00A24522"/>
    <w:rsid w:val="00A33D47"/>
    <w:rsid w:val="00A3489B"/>
    <w:rsid w:val="00A37EA0"/>
    <w:rsid w:val="00A41BE0"/>
    <w:rsid w:val="00A44632"/>
    <w:rsid w:val="00A52E93"/>
    <w:rsid w:val="00A5768B"/>
    <w:rsid w:val="00A577CA"/>
    <w:rsid w:val="00A62C62"/>
    <w:rsid w:val="00A66202"/>
    <w:rsid w:val="00A74B57"/>
    <w:rsid w:val="00A80324"/>
    <w:rsid w:val="00A833D7"/>
    <w:rsid w:val="00A8475A"/>
    <w:rsid w:val="00A8553F"/>
    <w:rsid w:val="00A85DB1"/>
    <w:rsid w:val="00AA0560"/>
    <w:rsid w:val="00AB117C"/>
    <w:rsid w:val="00AB20A2"/>
    <w:rsid w:val="00AC1B3E"/>
    <w:rsid w:val="00AC31F9"/>
    <w:rsid w:val="00AC60FE"/>
    <w:rsid w:val="00AD1622"/>
    <w:rsid w:val="00AE38C4"/>
    <w:rsid w:val="00AF1EB5"/>
    <w:rsid w:val="00AF1F29"/>
    <w:rsid w:val="00AF4DEB"/>
    <w:rsid w:val="00AF7472"/>
    <w:rsid w:val="00B00267"/>
    <w:rsid w:val="00B02E27"/>
    <w:rsid w:val="00B047EF"/>
    <w:rsid w:val="00B054FA"/>
    <w:rsid w:val="00B17406"/>
    <w:rsid w:val="00B3113B"/>
    <w:rsid w:val="00B31F0F"/>
    <w:rsid w:val="00B353A1"/>
    <w:rsid w:val="00B363D7"/>
    <w:rsid w:val="00B4271D"/>
    <w:rsid w:val="00B42736"/>
    <w:rsid w:val="00B461A0"/>
    <w:rsid w:val="00B5752F"/>
    <w:rsid w:val="00B62B03"/>
    <w:rsid w:val="00B71459"/>
    <w:rsid w:val="00B764C0"/>
    <w:rsid w:val="00B84032"/>
    <w:rsid w:val="00B87717"/>
    <w:rsid w:val="00B92AFB"/>
    <w:rsid w:val="00B966CB"/>
    <w:rsid w:val="00BA2A49"/>
    <w:rsid w:val="00BA3D36"/>
    <w:rsid w:val="00BA772B"/>
    <w:rsid w:val="00BB11E8"/>
    <w:rsid w:val="00BB4B2C"/>
    <w:rsid w:val="00BB7EE0"/>
    <w:rsid w:val="00BE232E"/>
    <w:rsid w:val="00BE31AB"/>
    <w:rsid w:val="00BE4121"/>
    <w:rsid w:val="00BE6423"/>
    <w:rsid w:val="00BE69A8"/>
    <w:rsid w:val="00BF14F4"/>
    <w:rsid w:val="00BF5AAC"/>
    <w:rsid w:val="00C10632"/>
    <w:rsid w:val="00C1220F"/>
    <w:rsid w:val="00C1328E"/>
    <w:rsid w:val="00C132F7"/>
    <w:rsid w:val="00C21A25"/>
    <w:rsid w:val="00C23C83"/>
    <w:rsid w:val="00C25B24"/>
    <w:rsid w:val="00C26BFE"/>
    <w:rsid w:val="00C332EB"/>
    <w:rsid w:val="00C34FED"/>
    <w:rsid w:val="00C35584"/>
    <w:rsid w:val="00C44EF6"/>
    <w:rsid w:val="00C60588"/>
    <w:rsid w:val="00C6159D"/>
    <w:rsid w:val="00C67A8B"/>
    <w:rsid w:val="00C72184"/>
    <w:rsid w:val="00C76DF1"/>
    <w:rsid w:val="00C775F9"/>
    <w:rsid w:val="00C8017E"/>
    <w:rsid w:val="00C90997"/>
    <w:rsid w:val="00C917FB"/>
    <w:rsid w:val="00C96A54"/>
    <w:rsid w:val="00C96BDB"/>
    <w:rsid w:val="00C97144"/>
    <w:rsid w:val="00CA0397"/>
    <w:rsid w:val="00CB062D"/>
    <w:rsid w:val="00CB1835"/>
    <w:rsid w:val="00CB743E"/>
    <w:rsid w:val="00CC173E"/>
    <w:rsid w:val="00CC1BB9"/>
    <w:rsid w:val="00CC5B47"/>
    <w:rsid w:val="00CD663A"/>
    <w:rsid w:val="00CE57D7"/>
    <w:rsid w:val="00CF5AB2"/>
    <w:rsid w:val="00D026EF"/>
    <w:rsid w:val="00D0360A"/>
    <w:rsid w:val="00D07B3E"/>
    <w:rsid w:val="00D07C24"/>
    <w:rsid w:val="00D235C4"/>
    <w:rsid w:val="00D27C18"/>
    <w:rsid w:val="00D31CDF"/>
    <w:rsid w:val="00D52EA6"/>
    <w:rsid w:val="00D53E85"/>
    <w:rsid w:val="00D570D7"/>
    <w:rsid w:val="00D62AAB"/>
    <w:rsid w:val="00D631C4"/>
    <w:rsid w:val="00D66C3F"/>
    <w:rsid w:val="00D7536D"/>
    <w:rsid w:val="00D825BB"/>
    <w:rsid w:val="00D833F4"/>
    <w:rsid w:val="00D83E3C"/>
    <w:rsid w:val="00D9156B"/>
    <w:rsid w:val="00DA00E6"/>
    <w:rsid w:val="00DB3021"/>
    <w:rsid w:val="00DC151B"/>
    <w:rsid w:val="00DC5224"/>
    <w:rsid w:val="00DF44E1"/>
    <w:rsid w:val="00E03AE5"/>
    <w:rsid w:val="00E04059"/>
    <w:rsid w:val="00E11F41"/>
    <w:rsid w:val="00E12653"/>
    <w:rsid w:val="00E153D2"/>
    <w:rsid w:val="00E1541F"/>
    <w:rsid w:val="00E15C7B"/>
    <w:rsid w:val="00E20805"/>
    <w:rsid w:val="00E307BD"/>
    <w:rsid w:val="00E365E0"/>
    <w:rsid w:val="00E41F28"/>
    <w:rsid w:val="00E463C5"/>
    <w:rsid w:val="00E47EA1"/>
    <w:rsid w:val="00E5130B"/>
    <w:rsid w:val="00E6217D"/>
    <w:rsid w:val="00E65C99"/>
    <w:rsid w:val="00E75E6D"/>
    <w:rsid w:val="00E84436"/>
    <w:rsid w:val="00E862EF"/>
    <w:rsid w:val="00E86870"/>
    <w:rsid w:val="00E87B97"/>
    <w:rsid w:val="00E9249C"/>
    <w:rsid w:val="00EA0578"/>
    <w:rsid w:val="00EA0A74"/>
    <w:rsid w:val="00EA652B"/>
    <w:rsid w:val="00EA78F8"/>
    <w:rsid w:val="00EB3FF8"/>
    <w:rsid w:val="00EC2FE6"/>
    <w:rsid w:val="00ED3A3F"/>
    <w:rsid w:val="00ED3D80"/>
    <w:rsid w:val="00ED62D2"/>
    <w:rsid w:val="00EE0410"/>
    <w:rsid w:val="00EE5150"/>
    <w:rsid w:val="00EF39F1"/>
    <w:rsid w:val="00F17063"/>
    <w:rsid w:val="00F21DCC"/>
    <w:rsid w:val="00F2506E"/>
    <w:rsid w:val="00F258F5"/>
    <w:rsid w:val="00F32B05"/>
    <w:rsid w:val="00F524C1"/>
    <w:rsid w:val="00F54C2A"/>
    <w:rsid w:val="00F62CF8"/>
    <w:rsid w:val="00F81F06"/>
    <w:rsid w:val="00F86C89"/>
    <w:rsid w:val="00F87EBC"/>
    <w:rsid w:val="00F91237"/>
    <w:rsid w:val="00F973CD"/>
    <w:rsid w:val="00FB13BA"/>
    <w:rsid w:val="00FB34AC"/>
    <w:rsid w:val="00FC2DC6"/>
    <w:rsid w:val="00FD2267"/>
    <w:rsid w:val="00FE24D3"/>
    <w:rsid w:val="00FF2059"/>
    <w:rsid w:val="00FF37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AEB920A-A982-4574-92E8-75FEDE13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EE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B7EE0"/>
    <w:pPr>
      <w:widowControl/>
      <w:spacing w:before="100" w:beforeAutospacing="1" w:after="100" w:afterAutospacing="1"/>
    </w:pPr>
    <w:rPr>
      <w:rFonts w:ascii="新細明體" w:hAnsi="新細明體" w:cs="新細明體"/>
      <w:kern w:val="0"/>
    </w:rPr>
  </w:style>
  <w:style w:type="paragraph" w:styleId="a3">
    <w:name w:val="Plain Text"/>
    <w:basedOn w:val="a"/>
    <w:link w:val="a4"/>
    <w:uiPriority w:val="99"/>
    <w:rsid w:val="00BB7EE0"/>
    <w:rPr>
      <w:rFonts w:ascii="細明體" w:eastAsia="細明體" w:hAnsi="Courier New"/>
    </w:rPr>
  </w:style>
  <w:style w:type="character" w:customStyle="1" w:styleId="a4">
    <w:name w:val="純文字 字元"/>
    <w:link w:val="a3"/>
    <w:uiPriority w:val="99"/>
    <w:locked/>
    <w:rsid w:val="00BB7EE0"/>
    <w:rPr>
      <w:rFonts w:ascii="細明體" w:eastAsia="細明體" w:hAnsi="Courier New" w:cs="Times New Roman"/>
      <w:sz w:val="24"/>
      <w:szCs w:val="24"/>
    </w:rPr>
  </w:style>
  <w:style w:type="paragraph" w:styleId="a5">
    <w:name w:val="List Paragraph"/>
    <w:basedOn w:val="a"/>
    <w:uiPriority w:val="99"/>
    <w:qFormat/>
    <w:rsid w:val="008D6104"/>
    <w:pPr>
      <w:ind w:leftChars="200" w:left="480"/>
    </w:pPr>
  </w:style>
  <w:style w:type="paragraph" w:styleId="a6">
    <w:name w:val="header"/>
    <w:basedOn w:val="a"/>
    <w:link w:val="a7"/>
    <w:uiPriority w:val="99"/>
    <w:rsid w:val="00005D3A"/>
    <w:pPr>
      <w:tabs>
        <w:tab w:val="center" w:pos="4153"/>
        <w:tab w:val="right" w:pos="8306"/>
      </w:tabs>
      <w:snapToGrid w:val="0"/>
    </w:pPr>
    <w:rPr>
      <w:sz w:val="20"/>
      <w:szCs w:val="20"/>
    </w:rPr>
  </w:style>
  <w:style w:type="character" w:customStyle="1" w:styleId="a7">
    <w:name w:val="頁首 字元"/>
    <w:link w:val="a6"/>
    <w:uiPriority w:val="99"/>
    <w:locked/>
    <w:rsid w:val="00005D3A"/>
    <w:rPr>
      <w:rFonts w:ascii="Times New Roman" w:eastAsia="新細明體" w:hAnsi="Times New Roman" w:cs="Times New Roman"/>
      <w:sz w:val="20"/>
      <w:szCs w:val="20"/>
    </w:rPr>
  </w:style>
  <w:style w:type="paragraph" w:styleId="a8">
    <w:name w:val="footer"/>
    <w:basedOn w:val="a"/>
    <w:link w:val="a9"/>
    <w:uiPriority w:val="99"/>
    <w:rsid w:val="00005D3A"/>
    <w:pPr>
      <w:tabs>
        <w:tab w:val="center" w:pos="4153"/>
        <w:tab w:val="right" w:pos="8306"/>
      </w:tabs>
      <w:snapToGrid w:val="0"/>
    </w:pPr>
    <w:rPr>
      <w:sz w:val="20"/>
      <w:szCs w:val="20"/>
    </w:rPr>
  </w:style>
  <w:style w:type="character" w:customStyle="1" w:styleId="a9">
    <w:name w:val="頁尾 字元"/>
    <w:link w:val="a8"/>
    <w:uiPriority w:val="99"/>
    <w:locked/>
    <w:rsid w:val="00005D3A"/>
    <w:rPr>
      <w:rFonts w:ascii="Times New Roman" w:eastAsia="新細明體" w:hAnsi="Times New Roman" w:cs="Times New Roman"/>
      <w:sz w:val="20"/>
      <w:szCs w:val="20"/>
    </w:rPr>
  </w:style>
  <w:style w:type="paragraph" w:styleId="aa">
    <w:name w:val="Balloon Text"/>
    <w:basedOn w:val="a"/>
    <w:link w:val="ab"/>
    <w:uiPriority w:val="99"/>
    <w:semiHidden/>
    <w:rsid w:val="00255648"/>
    <w:rPr>
      <w:rFonts w:ascii="Cambria" w:hAnsi="Cambria"/>
      <w:sz w:val="18"/>
      <w:szCs w:val="18"/>
    </w:rPr>
  </w:style>
  <w:style w:type="character" w:customStyle="1" w:styleId="ab">
    <w:name w:val="註解方塊文字 字元"/>
    <w:link w:val="aa"/>
    <w:uiPriority w:val="99"/>
    <w:semiHidden/>
    <w:locked/>
    <w:rsid w:val="00255648"/>
    <w:rPr>
      <w:rFonts w:ascii="Cambria" w:eastAsia="新細明體" w:hAnsi="Cambria" w:cs="Times New Roman"/>
      <w:sz w:val="18"/>
      <w:szCs w:val="18"/>
    </w:rPr>
  </w:style>
  <w:style w:type="character" w:styleId="ac">
    <w:name w:val="Hyperlink"/>
    <w:uiPriority w:val="99"/>
    <w:rsid w:val="00C6159D"/>
    <w:rPr>
      <w:rFonts w:cs="Times New Roman"/>
      <w:color w:val="0000FF"/>
      <w:u w:val="single"/>
    </w:rPr>
  </w:style>
  <w:style w:type="character" w:styleId="ad">
    <w:name w:val="annotation reference"/>
    <w:uiPriority w:val="99"/>
    <w:semiHidden/>
    <w:rsid w:val="00A62C62"/>
    <w:rPr>
      <w:rFonts w:cs="Times New Roman"/>
      <w:sz w:val="18"/>
      <w:szCs w:val="18"/>
    </w:rPr>
  </w:style>
  <w:style w:type="paragraph" w:styleId="ae">
    <w:name w:val="annotation text"/>
    <w:basedOn w:val="a"/>
    <w:link w:val="af"/>
    <w:uiPriority w:val="99"/>
    <w:semiHidden/>
    <w:rsid w:val="00A62C62"/>
  </w:style>
  <w:style w:type="character" w:customStyle="1" w:styleId="af">
    <w:name w:val="註解文字 字元"/>
    <w:link w:val="ae"/>
    <w:uiPriority w:val="99"/>
    <w:semiHidden/>
    <w:locked/>
    <w:rsid w:val="00A62C62"/>
    <w:rPr>
      <w:rFonts w:ascii="Times New Roman" w:eastAsia="新細明體" w:hAnsi="Times New Roman" w:cs="Times New Roman"/>
      <w:sz w:val="24"/>
      <w:szCs w:val="24"/>
    </w:rPr>
  </w:style>
  <w:style w:type="paragraph" w:styleId="af0">
    <w:name w:val="annotation subject"/>
    <w:basedOn w:val="ae"/>
    <w:next w:val="ae"/>
    <w:link w:val="af1"/>
    <w:uiPriority w:val="99"/>
    <w:semiHidden/>
    <w:rsid w:val="00A62C62"/>
    <w:rPr>
      <w:b/>
      <w:bCs/>
    </w:rPr>
  </w:style>
  <w:style w:type="character" w:customStyle="1" w:styleId="af1">
    <w:name w:val="註解主旨 字元"/>
    <w:link w:val="af0"/>
    <w:uiPriority w:val="99"/>
    <w:semiHidden/>
    <w:locked/>
    <w:rsid w:val="00A62C62"/>
    <w:rPr>
      <w:rFonts w:ascii="Times New Roman" w:eastAsia="新細明體" w:hAnsi="Times New Roman" w:cs="Times New Roman"/>
      <w:b/>
      <w:bCs/>
      <w:sz w:val="24"/>
      <w:szCs w:val="24"/>
    </w:rPr>
  </w:style>
  <w:style w:type="character" w:styleId="af2">
    <w:name w:val="FollowedHyperlink"/>
    <w:uiPriority w:val="99"/>
    <w:semiHidden/>
    <w:rsid w:val="003B6F76"/>
    <w:rPr>
      <w:rFonts w:cs="Times New Roman"/>
      <w:color w:val="800080"/>
      <w:u w:val="single"/>
    </w:rPr>
  </w:style>
  <w:style w:type="paragraph" w:styleId="HTML">
    <w:name w:val="HTML Preformatted"/>
    <w:basedOn w:val="a"/>
    <w:link w:val="HTML0"/>
    <w:uiPriority w:val="99"/>
    <w:rsid w:val="00BA3D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70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cen.gov/statutes_regs/patriot/section311.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f.org/external/NP/ofca/OFCA.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te.gov/j/ct/list/c14151.htm" TargetMode="External"/><Relationship Id="rId4" Type="http://schemas.openxmlformats.org/officeDocument/2006/relationships/webSettings" Target="webSettings.xml"/><Relationship Id="rId9" Type="http://schemas.openxmlformats.org/officeDocument/2006/relationships/hyperlink" Target="http://cpi.transparency.org/cpi2013/in_detai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2592</Words>
  <Characters>14780</Characters>
  <Application>Microsoft Office Word</Application>
  <DocSecurity>0</DocSecurity>
  <Lines>123</Lines>
  <Paragraphs>34</Paragraphs>
  <ScaleCrop>false</ScaleCrop>
  <Company>Citigroup</Company>
  <LinksUpToDate>false</LinksUpToDate>
  <CharactersWithSpaces>17338</CharactersWithSpaces>
  <SharedDoc>false</SharedDoc>
  <HLinks>
    <vt:vector size="24" baseType="variant">
      <vt:variant>
        <vt:i4>5111820</vt:i4>
      </vt:variant>
      <vt:variant>
        <vt:i4>9</vt:i4>
      </vt:variant>
      <vt:variant>
        <vt:i4>0</vt:i4>
      </vt:variant>
      <vt:variant>
        <vt:i4>5</vt:i4>
      </vt:variant>
      <vt:variant>
        <vt:lpwstr>http://www.state.gov/j/ct/list/c14151.htm</vt:lpwstr>
      </vt:variant>
      <vt:variant>
        <vt:lpwstr/>
      </vt:variant>
      <vt:variant>
        <vt:i4>3604481</vt:i4>
      </vt:variant>
      <vt:variant>
        <vt:i4>6</vt:i4>
      </vt:variant>
      <vt:variant>
        <vt:i4>0</vt:i4>
      </vt:variant>
      <vt:variant>
        <vt:i4>5</vt:i4>
      </vt:variant>
      <vt:variant>
        <vt:lpwstr>http://cpi.transparency.org/cpi2013/in_detail/</vt:lpwstr>
      </vt:variant>
      <vt:variant>
        <vt:lpwstr/>
      </vt:variant>
      <vt:variant>
        <vt:i4>4128779</vt:i4>
      </vt:variant>
      <vt:variant>
        <vt:i4>3</vt:i4>
      </vt:variant>
      <vt:variant>
        <vt:i4>0</vt:i4>
      </vt:variant>
      <vt:variant>
        <vt:i4>5</vt:i4>
      </vt:variant>
      <vt:variant>
        <vt:lpwstr>http://www.fincen.gov/statutes_regs/patriot/section311.html</vt:lpwstr>
      </vt:variant>
      <vt:variant>
        <vt:lpwstr/>
      </vt:variant>
      <vt:variant>
        <vt:i4>4456518</vt:i4>
      </vt:variant>
      <vt:variant>
        <vt:i4>0</vt:i4>
      </vt:variant>
      <vt:variant>
        <vt:i4>0</vt:i4>
      </vt:variant>
      <vt:variant>
        <vt:i4>5</vt:i4>
      </vt:variant>
      <vt:variant>
        <vt:lpwstr>http://www.imf.org/external/NP/ofca/OFCA.aspx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Governing Money Laundering and Terrorist Financing Risks Assessment and Relevant Prevention Program Development by the Insurance Sector</dc:title>
  <dc:subject/>
  <dc:creator>Hsueh, Sharon Yt [CMPL]</dc:creator>
  <cp:keywords/>
  <cp:lastModifiedBy>user</cp:lastModifiedBy>
  <cp:revision>2</cp:revision>
  <cp:lastPrinted>2015-10-08T08:23:00Z</cp:lastPrinted>
  <dcterms:created xsi:type="dcterms:W3CDTF">2016-12-28T06:29:00Z</dcterms:created>
  <dcterms:modified xsi:type="dcterms:W3CDTF">2016-12-28T06:29:00Z</dcterms:modified>
</cp:coreProperties>
</file>